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0" w:afterAutospacing="0" w:line="360" w:lineRule="auto"/>
        <w:rPr>
          <w:rFonts w:hint="eastAsia" w:ascii="方正黑体简体" w:hAnsi="宋体" w:eastAsia="方正黑体简体" w:cs="宋体"/>
          <w:color w:val="000000"/>
          <w:sz w:val="28"/>
          <w:szCs w:val="28"/>
        </w:rPr>
      </w:pPr>
      <w:r>
        <w:rPr>
          <w:rFonts w:hint="eastAsia" w:ascii="方正黑体简体" w:hAnsi="宋体" w:eastAsia="方正黑体简体" w:cs="宋体"/>
          <w:color w:val="000000"/>
          <w:sz w:val="28"/>
          <w:szCs w:val="28"/>
        </w:rPr>
        <w:t>附件：</w:t>
      </w:r>
    </w:p>
    <w:p>
      <w:pPr>
        <w:pStyle w:val="2"/>
        <w:widowControl/>
        <w:spacing w:before="0" w:beforeAutospacing="0" w:after="0" w:afterAutospacing="0" w:line="600" w:lineRule="exact"/>
        <w:jc w:val="center"/>
      </w:pPr>
      <w:bookmarkStart w:id="0" w:name="_GoBack"/>
      <w:r>
        <w:rPr>
          <w:rFonts w:hint="eastAsia" w:ascii="方正小标宋简体" w:hAnsi="宋体" w:eastAsia="方正小标宋简体" w:cs="宋体"/>
          <w:color w:val="000000"/>
          <w:sz w:val="44"/>
          <w:szCs w:val="44"/>
        </w:rPr>
        <w:t>市政府部门职责分工和进度安排表</w:t>
      </w:r>
      <w:bookmarkEnd w:id="0"/>
    </w:p>
    <w:tbl>
      <w:tblPr>
        <w:tblStyle w:val="4"/>
        <w:tblpPr w:leftFromText="180" w:rightFromText="180" w:vertAnchor="page" w:horzAnchor="margin" w:tblpY="2689"/>
        <w:tblW w:w="8850" w:type="dxa"/>
        <w:tblInd w:w="0" w:type="dxa"/>
        <w:tblLayout w:type="fixed"/>
        <w:tblCellMar>
          <w:top w:w="15" w:type="dxa"/>
          <w:left w:w="15" w:type="dxa"/>
          <w:bottom w:w="15" w:type="dxa"/>
          <w:right w:w="15" w:type="dxa"/>
        </w:tblCellMar>
      </w:tblPr>
      <w:tblGrid>
        <w:gridCol w:w="771"/>
        <w:gridCol w:w="3892"/>
        <w:gridCol w:w="2015"/>
        <w:gridCol w:w="2172"/>
      </w:tblGrid>
      <w:tr>
        <w:tblPrEx>
          <w:tblLayout w:type="fixed"/>
          <w:tblCellMar>
            <w:top w:w="15" w:type="dxa"/>
            <w:left w:w="15" w:type="dxa"/>
            <w:bottom w:w="15" w:type="dxa"/>
            <w:right w:w="15" w:type="dxa"/>
          </w:tblCellMar>
        </w:tblPrEx>
        <w:trPr>
          <w:trHeight w:val="400" w:hRule="atLeast"/>
        </w:trPr>
        <w:tc>
          <w:tcPr>
            <w:tcW w:w="771"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序号</w:t>
            </w:r>
          </w:p>
        </w:tc>
        <w:tc>
          <w:tcPr>
            <w:tcW w:w="389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工作任务</w:t>
            </w:r>
          </w:p>
        </w:tc>
        <w:tc>
          <w:tcPr>
            <w:tcW w:w="201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责任单位</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方正黑体简体" w:hAnsi="宋体" w:eastAsia="方正黑体简体" w:cs="宋体"/>
                <w:color w:val="000000"/>
                <w:kern w:val="0"/>
                <w:sz w:val="24"/>
              </w:rPr>
            </w:pPr>
            <w:r>
              <w:rPr>
                <w:rFonts w:hint="eastAsia" w:ascii="方正黑体简体" w:hAnsi="宋体" w:eastAsia="方正黑体简体" w:cs="宋体"/>
                <w:color w:val="000000"/>
                <w:kern w:val="0"/>
                <w:sz w:val="24"/>
              </w:rPr>
              <w:t>时间进度</w:t>
            </w:r>
          </w:p>
        </w:tc>
      </w:tr>
      <w:tr>
        <w:tblPrEx>
          <w:tblLayout w:type="fixed"/>
          <w:tblCellMar>
            <w:top w:w="15" w:type="dxa"/>
            <w:left w:w="15" w:type="dxa"/>
            <w:bottom w:w="15" w:type="dxa"/>
            <w:right w:w="15" w:type="dxa"/>
          </w:tblCellMar>
        </w:tblPrEx>
        <w:trPr>
          <w:trHeight w:val="1654" w:hRule="atLeast"/>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1</w:t>
            </w:r>
          </w:p>
        </w:tc>
        <w:tc>
          <w:tcPr>
            <w:tcW w:w="389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hint="eastAsia"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制定公共服务事项目录。全面梳理本部门公共服务事项，形成目录。经审核审定后，向社会公开。</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hint="eastAsia"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市编委办牵头，市政府各有关部门分别负责</w:t>
            </w:r>
          </w:p>
        </w:tc>
        <w:tc>
          <w:tcPr>
            <w:tcW w:w="217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hint="eastAsia"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市政府各部门2016年7月底前报市编委办，市编委办10月底前审核结束，经市政府常务会议审定后，12月底前公布</w:t>
            </w:r>
          </w:p>
        </w:tc>
      </w:tr>
      <w:tr>
        <w:tblPrEx>
          <w:tblLayout w:type="fixed"/>
          <w:tblCellMar>
            <w:top w:w="15" w:type="dxa"/>
            <w:left w:w="15" w:type="dxa"/>
            <w:bottom w:w="15" w:type="dxa"/>
            <w:right w:w="15" w:type="dxa"/>
          </w:tblCellMar>
        </w:tblPrEx>
        <w:trPr>
          <w:trHeight w:val="957" w:hRule="atLeast"/>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2</w:t>
            </w:r>
          </w:p>
        </w:tc>
        <w:tc>
          <w:tcPr>
            <w:tcW w:w="389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hint="eastAsia"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清理规范不合法、不合理的证明和手续。按照“谁设定，谁清理，谁规范”的原则，清理规范相关证明和手续。</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hint="eastAsia"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市编委办牵头，市政府各有关部门分别负责</w:t>
            </w:r>
          </w:p>
        </w:tc>
        <w:tc>
          <w:tcPr>
            <w:tcW w:w="217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hint="eastAsia"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2016年12月底前清理结束并向社会公布</w:t>
            </w:r>
          </w:p>
        </w:tc>
      </w:tr>
      <w:tr>
        <w:tblPrEx>
          <w:tblLayout w:type="fixed"/>
          <w:tblCellMar>
            <w:top w:w="15" w:type="dxa"/>
            <w:left w:w="15" w:type="dxa"/>
            <w:bottom w:w="15" w:type="dxa"/>
            <w:right w:w="15" w:type="dxa"/>
          </w:tblCellMar>
        </w:tblPrEx>
        <w:trPr>
          <w:trHeight w:val="1792" w:hRule="atLeast"/>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3</w:t>
            </w:r>
          </w:p>
        </w:tc>
        <w:tc>
          <w:tcPr>
            <w:tcW w:w="389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hint="eastAsia"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编制公共服务事项办事指南。逐项列明办理依据、受理单位、基本流程、申请材料、示范文本及常见错误示例、收费依据及标准、办理时限、表格下载、咨询渠道、办公时间和地址、监督途径等内容。</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hint="eastAsia"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市公共行政服务中心牵头，市政府各有关部门分别负责</w:t>
            </w:r>
          </w:p>
        </w:tc>
        <w:tc>
          <w:tcPr>
            <w:tcW w:w="217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hint="eastAsia"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市政府各部门2016年11月底前报市公共行政服务中心，2016年12月底前向社会公布</w:t>
            </w:r>
          </w:p>
        </w:tc>
      </w:tr>
      <w:tr>
        <w:tblPrEx>
          <w:tblLayout w:type="fixed"/>
          <w:tblCellMar>
            <w:top w:w="15" w:type="dxa"/>
            <w:left w:w="15" w:type="dxa"/>
            <w:bottom w:w="15" w:type="dxa"/>
            <w:right w:w="15" w:type="dxa"/>
          </w:tblCellMar>
        </w:tblPrEx>
        <w:trPr>
          <w:trHeight w:val="1095" w:hRule="atLeast"/>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4</w:t>
            </w:r>
          </w:p>
        </w:tc>
        <w:tc>
          <w:tcPr>
            <w:tcW w:w="389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hint="eastAsia"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完善公共服务工作机制。推动公共服务事项进驻政务大厅，探索“多头受理”为“一个窗口受理”等机制。</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hint="eastAsia"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市公共行政服务中心牵头，市政府各有关部门分别负责</w:t>
            </w:r>
          </w:p>
        </w:tc>
        <w:tc>
          <w:tcPr>
            <w:tcW w:w="217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eastAsia"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长期推进</w:t>
            </w:r>
          </w:p>
        </w:tc>
      </w:tr>
      <w:tr>
        <w:tblPrEx>
          <w:tblLayout w:type="fixed"/>
          <w:tblCellMar>
            <w:top w:w="15" w:type="dxa"/>
            <w:left w:w="15" w:type="dxa"/>
            <w:bottom w:w="15" w:type="dxa"/>
            <w:right w:w="15" w:type="dxa"/>
          </w:tblCellMar>
        </w:tblPrEx>
        <w:trPr>
          <w:trHeight w:val="55" w:hRule="atLeast"/>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5</w:t>
            </w:r>
          </w:p>
        </w:tc>
        <w:tc>
          <w:tcPr>
            <w:tcW w:w="389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hint="eastAsia"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创新公共服务工作方式。推动实体政务大厅向网上办事大厅延伸，推广实行网上咨询、网上受理、网上办理、网上反馈等。</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hint="eastAsia"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市公共行政服务中心牵头，市政府办公厅配合，各有关部门分别负责</w:t>
            </w:r>
          </w:p>
        </w:tc>
        <w:tc>
          <w:tcPr>
            <w:tcW w:w="217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eastAsia"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长期推进</w:t>
            </w:r>
          </w:p>
        </w:tc>
      </w:tr>
      <w:tr>
        <w:tblPrEx>
          <w:tblLayout w:type="fixed"/>
          <w:tblCellMar>
            <w:top w:w="15" w:type="dxa"/>
            <w:left w:w="15" w:type="dxa"/>
            <w:bottom w:w="15" w:type="dxa"/>
            <w:right w:w="15" w:type="dxa"/>
          </w:tblCellMar>
        </w:tblPrEx>
        <w:trPr>
          <w:trHeight w:val="1357" w:hRule="atLeast"/>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6</w:t>
            </w:r>
          </w:p>
        </w:tc>
        <w:tc>
          <w:tcPr>
            <w:tcW w:w="389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hint="eastAsia"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加快推进部门间信息共享和业务协同。推进公共服务信息平台建设，探索建立各级信息及基础数据库资源共享的机制和途径。</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hint="eastAsia"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市公共行政服务中心牵头，市政府办公厅配合，各有关部门分别负责</w:t>
            </w:r>
          </w:p>
        </w:tc>
        <w:tc>
          <w:tcPr>
            <w:tcW w:w="217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eastAsia"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长期推进</w:t>
            </w:r>
          </w:p>
        </w:tc>
      </w:tr>
      <w:tr>
        <w:tblPrEx>
          <w:tblLayout w:type="fixed"/>
          <w:tblCellMar>
            <w:top w:w="15" w:type="dxa"/>
            <w:left w:w="15" w:type="dxa"/>
            <w:bottom w:w="15" w:type="dxa"/>
            <w:right w:w="15" w:type="dxa"/>
          </w:tblCellMar>
        </w:tblPrEx>
        <w:trPr>
          <w:trHeight w:val="1094" w:hRule="atLeast"/>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7</w:t>
            </w:r>
          </w:p>
        </w:tc>
        <w:tc>
          <w:tcPr>
            <w:tcW w:w="389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hint="eastAsia"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强化公共服务监督问责。定期开督导检查，整治群众反映强烈的庸懒散拖、推诿扯皮、敷衍塞责以及服务态度生硬等问题。</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hint="eastAsia"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市公共行政服务中心牵头，各有关部门分别负责</w:t>
            </w:r>
          </w:p>
        </w:tc>
        <w:tc>
          <w:tcPr>
            <w:tcW w:w="217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eastAsia"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长期推进</w:t>
            </w:r>
          </w:p>
        </w:tc>
      </w:tr>
      <w:tr>
        <w:tblPrEx>
          <w:tblLayout w:type="fixed"/>
          <w:tblCellMar>
            <w:top w:w="15" w:type="dxa"/>
            <w:left w:w="15" w:type="dxa"/>
            <w:bottom w:w="15" w:type="dxa"/>
            <w:right w:w="15" w:type="dxa"/>
          </w:tblCellMar>
        </w:tblPrEx>
        <w:trPr>
          <w:trHeight w:val="1096" w:hRule="atLeast"/>
        </w:trPr>
        <w:tc>
          <w:tcPr>
            <w:tcW w:w="771"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hint="eastAsia"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8</w:t>
            </w:r>
          </w:p>
        </w:tc>
        <w:tc>
          <w:tcPr>
            <w:tcW w:w="389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rPr>
                <w:rFonts w:hint="eastAsia"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推动相关改革。行业主管部门指导监督国有企事业单位和中介服务机构开展简化优化公共服务流程、方便基层群众办事创业工作。</w:t>
            </w:r>
          </w:p>
        </w:tc>
        <w:tc>
          <w:tcPr>
            <w:tcW w:w="201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eastAsia"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市政府相关行业主管部门分别负责</w:t>
            </w:r>
          </w:p>
        </w:tc>
        <w:tc>
          <w:tcPr>
            <w:tcW w:w="2172"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left"/>
              <w:rPr>
                <w:rFonts w:hint="eastAsia"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长期推进</w:t>
            </w:r>
          </w:p>
        </w:tc>
      </w:tr>
      <w:tr>
        <w:tblPrEx>
          <w:tblLayout w:type="fixed"/>
          <w:tblCellMar>
            <w:top w:w="15" w:type="dxa"/>
            <w:left w:w="15" w:type="dxa"/>
            <w:bottom w:w="15" w:type="dxa"/>
            <w:right w:w="15" w:type="dxa"/>
          </w:tblCellMar>
        </w:tblPrEx>
        <w:trPr>
          <w:trHeight w:val="540" w:hRule="atLeast"/>
        </w:trPr>
        <w:tc>
          <w:tcPr>
            <w:tcW w:w="8850" w:type="dxa"/>
            <w:gridSpan w:val="4"/>
            <w:tcBorders>
              <w:top w:val="single" w:color="000000" w:sz="4" w:space="0"/>
              <w:left w:val="single" w:color="000000" w:sz="4" w:space="0"/>
              <w:bottom w:val="single" w:color="000000" w:sz="4" w:space="0"/>
              <w:right w:val="single" w:color="000000" w:sz="4" w:space="0"/>
            </w:tcBorders>
            <w:vAlign w:val="center"/>
          </w:tcPr>
          <w:p>
            <w:pPr>
              <w:widowControl/>
              <w:spacing w:line="320" w:lineRule="exact"/>
              <w:ind w:firstLine="480" w:firstLineChars="200"/>
              <w:jc w:val="left"/>
              <w:rPr>
                <w:rFonts w:hint="eastAsia" w:ascii="方正仿宋简体" w:hAnsi="宋体" w:eastAsia="方正仿宋简体" w:cs="宋体"/>
                <w:color w:val="000000"/>
                <w:kern w:val="0"/>
                <w:sz w:val="24"/>
              </w:rPr>
            </w:pPr>
            <w:r>
              <w:rPr>
                <w:rFonts w:hint="eastAsia" w:ascii="方正仿宋简体" w:hAnsi="宋体" w:eastAsia="方正仿宋简体" w:cs="宋体"/>
                <w:color w:val="000000"/>
                <w:kern w:val="0"/>
                <w:sz w:val="24"/>
              </w:rPr>
              <w:t>联系人：潘镜伊，联系电话：42809311，电子信箱：bxjzfq@126.com</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0309D7"/>
    <w:rsid w:val="2F0309D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jc w:val="left"/>
    </w:pPr>
    <w:rPr>
      <w:rFonts w:ascii="Calibri" w:hAnsi="Calibri"/>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2016-08-26T06:40:00Z</dcterms:created>
  <dc:creator>ghost-PC</dc:creator>
  <cp:lastModifiedBy>ghost-PC</cp:lastModifiedBy>
  <dcterms:modified xsi:type="dcterms:W3CDTF">2016-08-26T06:40:28Z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