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附件2</w:t>
      </w:r>
    </w:p>
    <w:p>
      <w:pPr>
        <w:jc w:val="both"/>
        <w:rPr>
          <w:rFonts w:hint="eastAsia" w:ascii="方正小标宋_GBK" w:hAnsi="方正小标宋_GBK" w:eastAsia="方正小标宋_GBK" w:cs="方正小标宋_GBK"/>
          <w:sz w:val="36"/>
          <w:szCs w:val="36"/>
          <w:lang w:val="en-US" w:eastAsia="zh-CN"/>
        </w:rPr>
      </w:pPr>
      <w:r>
        <w:rPr>
          <w:rFonts w:hint="eastAsia" w:ascii="黑体" w:hAnsi="黑体" w:eastAsia="黑体" w:cs="黑体"/>
          <w:sz w:val="30"/>
          <w:szCs w:val="30"/>
          <w:lang w:val="en-US" w:eastAsia="zh-CN"/>
        </w:rPr>
        <w:t>桓仁满族自治县城乡交通运输一体化发展水平自评估得分表</w:t>
      </w:r>
    </w:p>
    <w:tbl>
      <w:tblPr>
        <w:tblStyle w:val="3"/>
        <w:tblW w:w="10680" w:type="dxa"/>
        <w:tblInd w:w="-1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55"/>
        <w:gridCol w:w="2325"/>
        <w:gridCol w:w="4466"/>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0680" w:type="dxa"/>
            <w:gridSpan w:val="5"/>
            <w:noWrap w:val="0"/>
            <w:vAlign w:val="center"/>
          </w:tcPr>
          <w:p>
            <w:pPr>
              <w:jc w:val="left"/>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填报单位（公章）：桓仁满族自治县交通运输局              填报日期：2022年4月20日</w:t>
            </w:r>
          </w:p>
          <w:p>
            <w:pPr>
              <w:jc w:val="left"/>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填报人：张容毓                                         联系电话：024-48836377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10"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1455"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指标类别</w:t>
            </w:r>
          </w:p>
        </w:tc>
        <w:tc>
          <w:tcPr>
            <w:tcW w:w="2325"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指标名称</w:t>
            </w:r>
          </w:p>
        </w:tc>
        <w:tc>
          <w:tcPr>
            <w:tcW w:w="4466"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指标内容</w:t>
            </w:r>
          </w:p>
        </w:tc>
        <w:tc>
          <w:tcPr>
            <w:tcW w:w="1624"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自评估得分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455"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基础设施</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一体化发展水平</w:t>
            </w: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农村公路等级路率</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行政区域内农村公路中四级及以上等级公路占农村公路总里程的比例</w:t>
            </w:r>
          </w:p>
        </w:tc>
        <w:tc>
          <w:tcPr>
            <w:tcW w:w="1624"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城市建成区路网密度和道路面积率达标率</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城市建成区内道路网的总里程与建成区面积的比值</w:t>
            </w:r>
          </w:p>
        </w:tc>
        <w:tc>
          <w:tcPr>
            <w:tcW w:w="1624"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城市建成区内的道路用地总面积与建成区面积的比值</w:t>
            </w:r>
          </w:p>
        </w:tc>
        <w:tc>
          <w:tcPr>
            <w:tcW w:w="1624"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客货运输场站一体化水平</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市县城区内三级以上汽车客运站与城市公交站点的换乘便捷情况</w:t>
            </w:r>
          </w:p>
        </w:tc>
        <w:tc>
          <w:tcPr>
            <w:tcW w:w="1624"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物流节点市县干线运输与县域内分拨配送的有效衔接，集聚整合物流资源，统筹组织县域内农村运输服务的情况</w:t>
            </w:r>
          </w:p>
        </w:tc>
        <w:tc>
          <w:tcPr>
            <w:tcW w:w="1624"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农村公路列养率</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行政区域内落实日常养护经费和人员的农村公路占农村公路总里程的比例</w:t>
            </w:r>
          </w:p>
        </w:tc>
        <w:tc>
          <w:tcPr>
            <w:tcW w:w="1624"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优良中等路率</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优良中等公路里程占行政区域内公路总里程的比例</w:t>
            </w:r>
          </w:p>
        </w:tc>
        <w:tc>
          <w:tcPr>
            <w:tcW w:w="1624"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455"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客运服务</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一体化发展水平</w:t>
            </w: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建制村通客车率</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行政区域内建制村通客车率</w:t>
            </w:r>
          </w:p>
        </w:tc>
        <w:tc>
          <w:tcPr>
            <w:tcW w:w="1624" w:type="dxa"/>
            <w:noWrap w:val="0"/>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城市建成区内公共交通站点500米覆盖率</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城市建成区内公共交通站点500米半径覆盖面积与建成区面积的比例</w:t>
            </w:r>
          </w:p>
        </w:tc>
        <w:tc>
          <w:tcPr>
            <w:tcW w:w="1624" w:type="dxa"/>
            <w:noWrap w:val="0"/>
            <w:vAlign w:val="top"/>
          </w:tcPr>
          <w:p>
            <w:pPr>
              <w:jc w:val="center"/>
              <w:rPr>
                <w:rFonts w:hint="eastAsia" w:ascii="仿宋_GB2312" w:hAnsi="仿宋_GB2312" w:eastAsia="仿宋_GB2312" w:cs="仿宋_GB2312"/>
                <w:sz w:val="24"/>
                <w:szCs w:val="24"/>
                <w:vertAlign w:val="baseline"/>
                <w:lang w:val="en-US" w:eastAsia="zh-CN"/>
              </w:rPr>
            </w:pP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城乡道路客运车辆公交化比率</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行政区域内城市公共汽电车辆和公交化运营的农村客运车辆数之和，占行政区域内所有城乡道路客运车辆数的比例</w:t>
            </w:r>
          </w:p>
        </w:tc>
        <w:tc>
          <w:tcPr>
            <w:tcW w:w="1624" w:type="dxa"/>
            <w:noWrap w:val="0"/>
            <w:vAlign w:val="top"/>
          </w:tcPr>
          <w:p>
            <w:pPr>
              <w:jc w:val="center"/>
              <w:rPr>
                <w:rFonts w:hint="eastAsia" w:ascii="仿宋_GB2312" w:hAnsi="仿宋_GB2312" w:eastAsia="仿宋_GB2312" w:cs="仿宋_GB2312"/>
                <w:sz w:val="24"/>
                <w:szCs w:val="24"/>
                <w:vertAlign w:val="baseline"/>
                <w:lang w:val="en-US" w:eastAsia="zh-CN"/>
              </w:rPr>
            </w:pP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城乡道路客运车辆交通责任事故万车死亡率</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行政区域内城乡道路客运车辆发生的交通责任事故（负同等及以上责任的交通事故）死亡人数与行政区域内城乡道路客运车辆数的比例</w:t>
            </w:r>
          </w:p>
        </w:tc>
        <w:tc>
          <w:tcPr>
            <w:tcW w:w="1624" w:type="dxa"/>
            <w:noWrap w:val="0"/>
            <w:vAlign w:val="top"/>
          </w:tcPr>
          <w:p>
            <w:pPr>
              <w:jc w:val="center"/>
              <w:rPr>
                <w:rFonts w:hint="eastAsia" w:ascii="仿宋_GB2312" w:hAnsi="仿宋_GB2312" w:eastAsia="仿宋_GB2312" w:cs="仿宋_GB2312"/>
                <w:sz w:val="24"/>
                <w:szCs w:val="24"/>
                <w:vertAlign w:val="baseline"/>
                <w:lang w:val="en-US" w:eastAsia="zh-CN"/>
              </w:rPr>
            </w:pP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城乡客运信息化水平</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行政区域内通过互联网对外动态发布城乡客运信息情况</w:t>
            </w:r>
          </w:p>
        </w:tc>
        <w:tc>
          <w:tcPr>
            <w:tcW w:w="1624" w:type="dxa"/>
            <w:noWrap w:val="0"/>
            <w:vAlign w:val="top"/>
          </w:tcPr>
          <w:p>
            <w:pPr>
              <w:spacing w:line="240" w:lineRule="auto"/>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农村客运车辆动态监控设备安装使用率</w:t>
            </w:r>
          </w:p>
        </w:tc>
        <w:tc>
          <w:tcPr>
            <w:tcW w:w="1624" w:type="dxa"/>
            <w:noWrap w:val="0"/>
            <w:vAlign w:val="top"/>
          </w:tcPr>
          <w:p>
            <w:pPr>
              <w:spacing w:line="480" w:lineRule="auto"/>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二级以上汽车客运站省域道路客运联网售票覆盖率</w:t>
            </w:r>
          </w:p>
        </w:tc>
        <w:tc>
          <w:tcPr>
            <w:tcW w:w="1624" w:type="dxa"/>
            <w:noWrap w:val="0"/>
            <w:vAlign w:val="top"/>
          </w:tcPr>
          <w:p>
            <w:pPr>
              <w:jc w:val="center"/>
              <w:rPr>
                <w:rFonts w:hint="eastAsia" w:ascii="仿宋_GB2312" w:hAnsi="仿宋_GB2312" w:eastAsia="仿宋_GB2312" w:cs="仿宋_GB2312"/>
                <w:sz w:val="24"/>
                <w:szCs w:val="24"/>
                <w:vertAlign w:val="baseline"/>
                <w:lang w:val="en-US" w:eastAsia="zh-CN"/>
              </w:rPr>
            </w:pP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1455"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货运物流</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服务一体化发展水平</w:t>
            </w: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建制村农村物流服务覆盖率</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行政区域内开通货运物流、邮政、快递等一项或多项服务的建制村数量占行政区域内全部建制村数量的比例</w:t>
            </w:r>
          </w:p>
        </w:tc>
        <w:tc>
          <w:tcPr>
            <w:tcW w:w="1624" w:type="dxa"/>
            <w:noWrap w:val="0"/>
            <w:vAlign w:val="top"/>
          </w:tcPr>
          <w:p>
            <w:pPr>
              <w:jc w:val="center"/>
              <w:rPr>
                <w:rFonts w:hint="eastAsia" w:ascii="仿宋_GB2312" w:hAnsi="仿宋_GB2312" w:eastAsia="仿宋_GB2312" w:cs="仿宋_GB2312"/>
                <w:sz w:val="24"/>
                <w:szCs w:val="24"/>
                <w:vertAlign w:val="baseline"/>
                <w:lang w:val="en-US" w:eastAsia="zh-CN"/>
              </w:rPr>
            </w:pP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乡镇农村物流节点覆盖率</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行政区域内有农村物流节点的乡镇数量占行政区域内全部乡镇数量的比例</w:t>
            </w:r>
          </w:p>
        </w:tc>
        <w:tc>
          <w:tcPr>
            <w:tcW w:w="1624" w:type="dxa"/>
            <w:noWrap w:val="0"/>
            <w:vAlign w:val="top"/>
          </w:tcPr>
          <w:p>
            <w:pPr>
              <w:jc w:val="center"/>
              <w:rPr>
                <w:rFonts w:hint="eastAsia" w:ascii="仿宋_GB2312" w:hAnsi="仿宋_GB2312" w:eastAsia="仿宋_GB2312" w:cs="仿宋_GB2312"/>
                <w:sz w:val="24"/>
                <w:szCs w:val="24"/>
                <w:vertAlign w:val="baseline"/>
                <w:lang w:val="en-US" w:eastAsia="zh-CN"/>
              </w:rPr>
            </w:pP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运输场站综合利用率</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具备管理、综合服务、客运、货运、邮政、快递等三种以上功能的运输站场设施数量占全部站场设施数量的比例</w:t>
            </w:r>
          </w:p>
        </w:tc>
        <w:tc>
          <w:tcPr>
            <w:tcW w:w="1624" w:type="dxa"/>
            <w:noWrap w:val="0"/>
            <w:vAlign w:val="top"/>
          </w:tcPr>
          <w:p>
            <w:pPr>
              <w:jc w:val="center"/>
              <w:rPr>
                <w:rFonts w:hint="eastAsia" w:ascii="仿宋_GB2312" w:hAnsi="仿宋_GB2312" w:eastAsia="仿宋_GB2312" w:cs="仿宋_GB2312"/>
                <w:sz w:val="24"/>
                <w:szCs w:val="24"/>
                <w:vertAlign w:val="baseline"/>
                <w:lang w:val="en-US" w:eastAsia="zh-CN"/>
              </w:rPr>
            </w:pP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1455"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城乡交通</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运输一体化发展环境</w:t>
            </w:r>
          </w:p>
        </w:tc>
        <w:tc>
          <w:tcPr>
            <w:tcW w:w="2325"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组织保障情况</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城乡交通运输一体化纳入当地全面建成小康社会目标或年度工作目标情况</w:t>
            </w:r>
          </w:p>
        </w:tc>
        <w:tc>
          <w:tcPr>
            <w:tcW w:w="1624" w:type="dxa"/>
            <w:noWrap w:val="0"/>
            <w:vAlign w:val="top"/>
          </w:tcPr>
          <w:p>
            <w:pPr>
              <w:spacing w:line="600" w:lineRule="auto"/>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县级人民政府组织相关部门建立责任分工明确的工作机制的情况</w:t>
            </w:r>
          </w:p>
        </w:tc>
        <w:tc>
          <w:tcPr>
            <w:tcW w:w="1624" w:type="dxa"/>
            <w:noWrap w:val="0"/>
            <w:vAlign w:val="top"/>
          </w:tcPr>
          <w:p>
            <w:pPr>
              <w:spacing w:line="720" w:lineRule="auto"/>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安全保障情况</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行政区域内通客车农村公路中，已实施安全隐患治理的里程数占总里程的比例</w:t>
            </w:r>
          </w:p>
        </w:tc>
        <w:tc>
          <w:tcPr>
            <w:tcW w:w="1624" w:type="dxa"/>
            <w:noWrap w:val="0"/>
            <w:vAlign w:val="top"/>
          </w:tcPr>
          <w:p>
            <w:pPr>
              <w:jc w:val="center"/>
              <w:rPr>
                <w:rFonts w:hint="eastAsia" w:ascii="仿宋_GB2312" w:hAnsi="仿宋_GB2312" w:eastAsia="仿宋_GB2312" w:cs="仿宋_GB2312"/>
                <w:sz w:val="24"/>
                <w:szCs w:val="24"/>
                <w:vertAlign w:val="baseline"/>
                <w:lang w:val="en-US" w:eastAsia="zh-CN"/>
              </w:rPr>
            </w:pP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21</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农村客运班线通行条件联合审核机制运行情况</w:t>
            </w:r>
          </w:p>
        </w:tc>
        <w:tc>
          <w:tcPr>
            <w:tcW w:w="1624" w:type="dxa"/>
            <w:noWrap w:val="0"/>
            <w:vAlign w:val="top"/>
          </w:tcPr>
          <w:p>
            <w:pPr>
              <w:spacing w:line="720" w:lineRule="auto"/>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22</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经费保障情况</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县级人民政府制定财政补贴政策，保障农村公路建设、养护、管理和农村客货运输、农村邮政、城市公交等城乡交通运输服务稳定运营的情况</w:t>
            </w:r>
          </w:p>
        </w:tc>
        <w:tc>
          <w:tcPr>
            <w:tcW w:w="1624" w:type="dxa"/>
            <w:noWrap w:val="0"/>
            <w:vAlign w:val="top"/>
          </w:tcPr>
          <w:p>
            <w:pPr>
              <w:jc w:val="center"/>
              <w:rPr>
                <w:rFonts w:hint="eastAsia" w:ascii="仿宋_GB2312" w:hAnsi="仿宋_GB2312" w:eastAsia="仿宋_GB2312" w:cs="仿宋_GB2312"/>
                <w:sz w:val="24"/>
                <w:szCs w:val="24"/>
                <w:vertAlign w:val="baseline"/>
                <w:lang w:val="en-US" w:eastAsia="zh-CN"/>
              </w:rPr>
            </w:pP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跨业融合情况</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交通运输企业与邮政、快递等企业的合作情况</w:t>
            </w:r>
          </w:p>
        </w:tc>
        <w:tc>
          <w:tcPr>
            <w:tcW w:w="1624" w:type="dxa"/>
            <w:noWrap w:val="0"/>
            <w:vAlign w:val="top"/>
          </w:tcPr>
          <w:p>
            <w:pPr>
              <w:spacing w:line="720" w:lineRule="auto"/>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依托资源产业、生态旅游、电子商务等资源发展农村物流，支撑农村地区经济发展的情况</w:t>
            </w:r>
          </w:p>
        </w:tc>
        <w:tc>
          <w:tcPr>
            <w:tcW w:w="1624" w:type="dxa"/>
            <w:noWrap w:val="0"/>
            <w:vAlign w:val="top"/>
          </w:tcPr>
          <w:p>
            <w:pPr>
              <w:jc w:val="center"/>
              <w:rPr>
                <w:rFonts w:hint="eastAsia" w:ascii="仿宋_GB2312" w:hAnsi="仿宋_GB2312" w:eastAsia="仿宋_GB2312" w:cs="仿宋_GB2312"/>
                <w:sz w:val="24"/>
                <w:szCs w:val="24"/>
                <w:vertAlign w:val="baseline"/>
                <w:lang w:val="en-US" w:eastAsia="zh-CN"/>
              </w:rPr>
            </w:pP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25</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规划及管理保障情况</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对城乡交通运输一体化发展进行合理规划的情况</w:t>
            </w:r>
          </w:p>
        </w:tc>
        <w:tc>
          <w:tcPr>
            <w:tcW w:w="1624" w:type="dxa"/>
            <w:noWrap w:val="0"/>
            <w:vAlign w:val="top"/>
          </w:tcPr>
          <w:p>
            <w:pPr>
              <w:spacing w:line="480" w:lineRule="auto"/>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26</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农村客运采用“一县一公司”方式统筹管理的情况</w:t>
            </w:r>
          </w:p>
        </w:tc>
        <w:tc>
          <w:tcPr>
            <w:tcW w:w="1624" w:type="dxa"/>
            <w:noWrap w:val="0"/>
            <w:vAlign w:val="top"/>
          </w:tcPr>
          <w:p>
            <w:pPr>
              <w:spacing w:line="360" w:lineRule="auto"/>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27</w:t>
            </w:r>
          </w:p>
        </w:tc>
        <w:tc>
          <w:tcPr>
            <w:tcW w:w="1455"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加分项</w:t>
            </w: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贫困县建制村通客车进展情况</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贫困县建制村通客车工作年度进展情况</w:t>
            </w:r>
          </w:p>
        </w:tc>
        <w:tc>
          <w:tcPr>
            <w:tcW w:w="1624" w:type="dxa"/>
            <w:noWrap w:val="0"/>
            <w:vAlign w:val="top"/>
          </w:tcPr>
          <w:p>
            <w:pPr>
              <w:spacing w:line="480" w:lineRule="auto"/>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28</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经验宣传推广情况</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典型经验的总结和交流情况</w:t>
            </w:r>
          </w:p>
        </w:tc>
        <w:tc>
          <w:tcPr>
            <w:tcW w:w="1624" w:type="dxa"/>
            <w:noWrap w:val="0"/>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56" w:type="dxa"/>
            <w:gridSpan w:val="4"/>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本市县城乡交通运输一体化发展水平自评估分值汇总</w:t>
            </w:r>
          </w:p>
        </w:tc>
        <w:tc>
          <w:tcPr>
            <w:tcW w:w="1624" w:type="dxa"/>
            <w:noWrap w:val="0"/>
            <w:vAlign w:val="top"/>
          </w:tcPr>
          <w:p>
            <w:pPr>
              <w:spacing w:line="360" w:lineRule="auto"/>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93</w:t>
            </w:r>
            <w:bookmarkStart w:id="0" w:name="_GoBack"/>
            <w:bookmarkEnd w:id="0"/>
            <w:r>
              <w:rPr>
                <w:rFonts w:hint="eastAsia" w:ascii="仿宋_GB2312" w:hAnsi="仿宋_GB2312" w:eastAsia="仿宋_GB2312" w:cs="仿宋_GB2312"/>
                <w:b/>
                <w:bCs/>
                <w:sz w:val="24"/>
                <w:szCs w:val="24"/>
                <w:vertAlign w:val="baseli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056" w:type="dxa"/>
            <w:gridSpan w:val="4"/>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本市县城乡交通运输一体化发展水平自评估等级</w:t>
            </w:r>
          </w:p>
        </w:tc>
        <w:tc>
          <w:tcPr>
            <w:tcW w:w="1624" w:type="dxa"/>
            <w:noWrap w:val="0"/>
            <w:vAlign w:val="top"/>
          </w:tcPr>
          <w:p>
            <w:pPr>
              <w:spacing w:line="360" w:lineRule="auto"/>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AAAAA级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680" w:type="dxa"/>
            <w:gridSpan w:val="5"/>
            <w:noWrap w:val="0"/>
            <w:vAlign w:val="center"/>
          </w:tcPr>
          <w:p>
            <w:pPr>
              <w:jc w:val="left"/>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审核单位（公章）：                审核人（两人以上）签字：             审核日期：</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TBkZGUyZGM3YzUxNmVkNDhhMTBlMzY5MGVjNmUifQ=="/>
  </w:docVars>
  <w:rsids>
    <w:rsidRoot w:val="00000000"/>
    <w:rsid w:val="04891CFE"/>
    <w:rsid w:val="09326CFF"/>
    <w:rsid w:val="23977E61"/>
    <w:rsid w:val="25A1144A"/>
    <w:rsid w:val="3FDF3639"/>
    <w:rsid w:val="65F907C9"/>
    <w:rsid w:val="70CF07A8"/>
    <w:rsid w:val="FAEFE7E8"/>
    <w:rsid w:val="FEFFD2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1357</Words>
  <Characters>1410</Characters>
  <Lines>0</Lines>
  <Paragraphs>0</Paragraphs>
  <TotalTime>32</TotalTime>
  <ScaleCrop>false</ScaleCrop>
  <LinksUpToDate>false</LinksUpToDate>
  <CharactersWithSpaces>1494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侯秉辰</dc:creator>
  <cp:lastModifiedBy>bxs</cp:lastModifiedBy>
  <dcterms:modified xsi:type="dcterms:W3CDTF">2022-06-22T14:39:50Z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5EADD8A635C94531BAC57C9CB2266F6F</vt:lpwstr>
  </property>
</Properties>
</file>