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附件3</w:t>
      </w:r>
      <w:bookmarkStart w:id="0" w:name="_GoBack"/>
      <w:bookmarkEnd w:id="0"/>
    </w:p>
    <w:p>
      <w:pPr>
        <w:jc w:val="both"/>
        <w:rPr>
          <w:rFonts w:hint="eastAsia" w:ascii="方正小标宋_GBK" w:hAnsi="方正小标宋_GBK" w:eastAsia="方正小标宋_GBK" w:cs="方正小标宋_GBK"/>
          <w:sz w:val="36"/>
          <w:szCs w:val="36"/>
          <w:lang w:val="en-US" w:eastAsia="zh-CN"/>
        </w:rPr>
      </w:pPr>
      <w:r>
        <w:rPr>
          <w:rFonts w:hint="eastAsia" w:ascii="黑体" w:hAnsi="黑体" w:eastAsia="黑体" w:cs="黑体"/>
          <w:sz w:val="30"/>
          <w:szCs w:val="30"/>
          <w:lang w:val="en-US" w:eastAsia="zh-CN"/>
        </w:rPr>
        <w:t>本溪满族自治县城乡交通运输一体化发展水平自评估得分表</w:t>
      </w:r>
    </w:p>
    <w:tbl>
      <w:tblPr>
        <w:tblStyle w:val="3"/>
        <w:tblW w:w="10680" w:type="dxa"/>
        <w:tblInd w:w="-1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55"/>
        <w:gridCol w:w="2325"/>
        <w:gridCol w:w="4466"/>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0680" w:type="dxa"/>
            <w:gridSpan w:val="5"/>
            <w:noWrap w:val="0"/>
            <w:vAlign w:val="center"/>
          </w:tcPr>
          <w:p>
            <w:pPr>
              <w:jc w:val="left"/>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填报单位（公章）：本溪满族自治县交通运输局              填报日期：2022年4月20日</w:t>
            </w:r>
          </w:p>
          <w:p>
            <w:pPr>
              <w:jc w:val="left"/>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填报人：罗安杰                                         联系电话：024-46827778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10"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1455"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指标类别</w:t>
            </w:r>
          </w:p>
        </w:tc>
        <w:tc>
          <w:tcPr>
            <w:tcW w:w="2325"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指标名称</w:t>
            </w:r>
          </w:p>
        </w:tc>
        <w:tc>
          <w:tcPr>
            <w:tcW w:w="4466"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指标内容</w:t>
            </w:r>
          </w:p>
        </w:tc>
        <w:tc>
          <w:tcPr>
            <w:tcW w:w="1624"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自评估得分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455"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基础设施</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一体化发展水平</w:t>
            </w:r>
          </w:p>
        </w:tc>
        <w:tc>
          <w:tcPr>
            <w:tcW w:w="232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农村公路等级路率</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行政区域内农村公路中四级及以上等级公路占农村公路总里程的比例</w:t>
            </w:r>
          </w:p>
        </w:tc>
        <w:tc>
          <w:tcPr>
            <w:tcW w:w="1624"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城市建成区路网密度和道路面积率达标率</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城市建成区内道路网的总里程与建成区面积的比值</w:t>
            </w:r>
          </w:p>
        </w:tc>
        <w:tc>
          <w:tcPr>
            <w:tcW w:w="1624"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城市建成区内的道路用地总面积与建成区面积的比值</w:t>
            </w:r>
          </w:p>
        </w:tc>
        <w:tc>
          <w:tcPr>
            <w:tcW w:w="1624"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客货运输场站一体化水平</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市县城区内三级以上汽车客运站与城市公交站点的换乘便捷情况</w:t>
            </w:r>
          </w:p>
        </w:tc>
        <w:tc>
          <w:tcPr>
            <w:tcW w:w="1624"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物流节点市县干线运输与县域内分拨配送的有效衔接，集聚整合物流资源，统筹组织县域内农村运输服务的情况</w:t>
            </w:r>
          </w:p>
        </w:tc>
        <w:tc>
          <w:tcPr>
            <w:tcW w:w="1624"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农村公路列养率</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行政区域内落实日常养护经费和人员的农村公路占农村公路总里程的比例</w:t>
            </w:r>
          </w:p>
        </w:tc>
        <w:tc>
          <w:tcPr>
            <w:tcW w:w="1624"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优良中等路率</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优良中等公路里程占行政区域内公路总里程的比例</w:t>
            </w:r>
          </w:p>
        </w:tc>
        <w:tc>
          <w:tcPr>
            <w:tcW w:w="1624"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455"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客运服务</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一体化发展水平</w:t>
            </w:r>
          </w:p>
        </w:tc>
        <w:tc>
          <w:tcPr>
            <w:tcW w:w="232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建制村通客车率</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行政区域内建制村通客车率</w:t>
            </w:r>
          </w:p>
        </w:tc>
        <w:tc>
          <w:tcPr>
            <w:tcW w:w="1624" w:type="dxa"/>
            <w:noWrap w:val="0"/>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城市建成区内公共交通站点500米覆盖率</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城市建成区内公共交通站点500米半径覆盖面积与建成区面积的比例</w:t>
            </w:r>
          </w:p>
        </w:tc>
        <w:tc>
          <w:tcPr>
            <w:tcW w:w="1624" w:type="dxa"/>
            <w:noWrap w:val="0"/>
            <w:vAlign w:val="top"/>
          </w:tcPr>
          <w:p>
            <w:pPr>
              <w:jc w:val="center"/>
              <w:rPr>
                <w:rFonts w:hint="eastAsia" w:ascii="仿宋_GB2312" w:hAnsi="仿宋_GB2312" w:eastAsia="仿宋_GB2312" w:cs="仿宋_GB2312"/>
                <w:sz w:val="24"/>
                <w:szCs w:val="24"/>
                <w:vertAlign w:val="baseline"/>
                <w:lang w:val="en-US" w:eastAsia="zh-CN"/>
              </w:rPr>
            </w:pPr>
          </w:p>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城乡道路客运车辆公交化比率</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行政区域内城市公共汽电车辆和公交化运营的农村客运车辆数之和，占行政区域内所有城乡道路客运车辆数的比例</w:t>
            </w:r>
          </w:p>
        </w:tc>
        <w:tc>
          <w:tcPr>
            <w:tcW w:w="1624" w:type="dxa"/>
            <w:noWrap w:val="0"/>
            <w:vAlign w:val="top"/>
          </w:tcPr>
          <w:p>
            <w:pPr>
              <w:jc w:val="center"/>
              <w:rPr>
                <w:rFonts w:hint="eastAsia" w:ascii="仿宋_GB2312" w:hAnsi="仿宋_GB2312" w:eastAsia="仿宋_GB2312" w:cs="仿宋_GB2312"/>
                <w:sz w:val="24"/>
                <w:szCs w:val="24"/>
                <w:vertAlign w:val="baseline"/>
                <w:lang w:val="en-US" w:eastAsia="zh-CN"/>
              </w:rPr>
            </w:pPr>
          </w:p>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城乡道路客运车辆交通责任事故万车死亡率</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行政区域内城乡道路客运车辆发生的交通责任事故（负同等及以上责任的交通事故）死亡人数与行政区域内城乡道路客运车辆数的比例</w:t>
            </w:r>
          </w:p>
        </w:tc>
        <w:tc>
          <w:tcPr>
            <w:tcW w:w="1624" w:type="dxa"/>
            <w:noWrap w:val="0"/>
            <w:vAlign w:val="top"/>
          </w:tcPr>
          <w:p>
            <w:pPr>
              <w:jc w:val="center"/>
              <w:rPr>
                <w:rFonts w:hint="eastAsia" w:ascii="仿宋_GB2312" w:hAnsi="仿宋_GB2312" w:eastAsia="仿宋_GB2312" w:cs="仿宋_GB2312"/>
                <w:sz w:val="24"/>
                <w:szCs w:val="24"/>
                <w:vertAlign w:val="baseline"/>
                <w:lang w:val="en-US" w:eastAsia="zh-CN"/>
              </w:rPr>
            </w:pPr>
          </w:p>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城乡客运信息化水平</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行政区域内通过互联网对外动态发布城乡客运信息情况</w:t>
            </w:r>
          </w:p>
        </w:tc>
        <w:tc>
          <w:tcPr>
            <w:tcW w:w="1624" w:type="dxa"/>
            <w:noWrap w:val="0"/>
            <w:vAlign w:val="top"/>
          </w:tcPr>
          <w:p>
            <w:pPr>
              <w:spacing w:line="240" w:lineRule="auto"/>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农村客运车辆动态监控设备安装使用率</w:t>
            </w:r>
          </w:p>
        </w:tc>
        <w:tc>
          <w:tcPr>
            <w:tcW w:w="1624" w:type="dxa"/>
            <w:noWrap w:val="0"/>
            <w:vAlign w:val="top"/>
          </w:tcPr>
          <w:p>
            <w:pPr>
              <w:spacing w:line="480" w:lineRule="auto"/>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二级以上汽车客运站省域道路客运联网售票覆盖率</w:t>
            </w:r>
          </w:p>
        </w:tc>
        <w:tc>
          <w:tcPr>
            <w:tcW w:w="1624" w:type="dxa"/>
            <w:noWrap w:val="0"/>
            <w:vAlign w:val="top"/>
          </w:tcPr>
          <w:p>
            <w:pPr>
              <w:jc w:val="center"/>
              <w:rPr>
                <w:rFonts w:hint="eastAsia" w:ascii="仿宋_GB2312" w:hAnsi="仿宋_GB2312" w:eastAsia="仿宋_GB2312" w:cs="仿宋_GB2312"/>
                <w:sz w:val="24"/>
                <w:szCs w:val="24"/>
                <w:vertAlign w:val="baseline"/>
                <w:lang w:val="en-US" w:eastAsia="zh-CN"/>
              </w:rPr>
            </w:pPr>
          </w:p>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1455"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货运物流</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服务一体化发展水平</w:t>
            </w:r>
          </w:p>
        </w:tc>
        <w:tc>
          <w:tcPr>
            <w:tcW w:w="232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建制村农村物流服务覆盖率</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行政区域内开通货运物流、邮政、快递等一项或多项服务的建制村数量占行政区域内全部建制村数量的比例</w:t>
            </w:r>
          </w:p>
        </w:tc>
        <w:tc>
          <w:tcPr>
            <w:tcW w:w="1624" w:type="dxa"/>
            <w:noWrap w:val="0"/>
            <w:vAlign w:val="top"/>
          </w:tcPr>
          <w:p>
            <w:pPr>
              <w:jc w:val="center"/>
              <w:rPr>
                <w:rFonts w:hint="eastAsia" w:ascii="仿宋_GB2312" w:hAnsi="仿宋_GB2312" w:eastAsia="仿宋_GB2312" w:cs="仿宋_GB2312"/>
                <w:sz w:val="24"/>
                <w:szCs w:val="24"/>
                <w:vertAlign w:val="baseline"/>
                <w:lang w:val="en-US" w:eastAsia="zh-CN"/>
              </w:rPr>
            </w:pPr>
          </w:p>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乡镇农村物流节点覆盖率</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行政区域内有农村物流节点的乡镇数量占行政区域内全部乡镇数量的比例</w:t>
            </w:r>
          </w:p>
        </w:tc>
        <w:tc>
          <w:tcPr>
            <w:tcW w:w="1624" w:type="dxa"/>
            <w:noWrap w:val="0"/>
            <w:vAlign w:val="top"/>
          </w:tcPr>
          <w:p>
            <w:pPr>
              <w:jc w:val="center"/>
              <w:rPr>
                <w:rFonts w:hint="eastAsia" w:ascii="仿宋_GB2312" w:hAnsi="仿宋_GB2312" w:eastAsia="仿宋_GB2312" w:cs="仿宋_GB2312"/>
                <w:sz w:val="24"/>
                <w:szCs w:val="24"/>
                <w:vertAlign w:val="baseline"/>
                <w:lang w:val="en-US" w:eastAsia="zh-CN"/>
              </w:rPr>
            </w:pPr>
          </w:p>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运输场站综合利用率</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具备管理、综合服务、客运、货运、邮政、快递等三种以上功能的运输站场设施数量占全部站场设施数量的比例</w:t>
            </w:r>
          </w:p>
        </w:tc>
        <w:tc>
          <w:tcPr>
            <w:tcW w:w="1624" w:type="dxa"/>
            <w:noWrap w:val="0"/>
            <w:vAlign w:val="top"/>
          </w:tcPr>
          <w:p>
            <w:pPr>
              <w:jc w:val="center"/>
              <w:rPr>
                <w:rFonts w:hint="eastAsia" w:ascii="仿宋_GB2312" w:hAnsi="仿宋_GB2312" w:eastAsia="仿宋_GB2312" w:cs="仿宋_GB2312"/>
                <w:sz w:val="24"/>
                <w:szCs w:val="24"/>
                <w:vertAlign w:val="baseline"/>
                <w:lang w:val="en-US" w:eastAsia="zh-CN"/>
              </w:rPr>
            </w:pPr>
          </w:p>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w:t>
            </w:r>
          </w:p>
        </w:tc>
        <w:tc>
          <w:tcPr>
            <w:tcW w:w="1455"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城乡交通</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运输一体化发展环境</w:t>
            </w:r>
          </w:p>
        </w:tc>
        <w:tc>
          <w:tcPr>
            <w:tcW w:w="2325"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组织保障情况</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城乡交通运输一体化纳入当地全面建成小康社会目标或年度工作目标情况</w:t>
            </w:r>
          </w:p>
        </w:tc>
        <w:tc>
          <w:tcPr>
            <w:tcW w:w="1624" w:type="dxa"/>
            <w:noWrap w:val="0"/>
            <w:vAlign w:val="top"/>
          </w:tcPr>
          <w:p>
            <w:pPr>
              <w:spacing w:line="600" w:lineRule="auto"/>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县级人民政府组织相关部门建立责任分工明确的工作机制的情况</w:t>
            </w:r>
          </w:p>
        </w:tc>
        <w:tc>
          <w:tcPr>
            <w:tcW w:w="1624" w:type="dxa"/>
            <w:noWrap w:val="0"/>
            <w:vAlign w:val="top"/>
          </w:tcPr>
          <w:p>
            <w:pPr>
              <w:spacing w:line="720" w:lineRule="auto"/>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安全保障情况</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行政区域内通客车农村公路中，已实施安全隐患治理的里程数占总里程的比例</w:t>
            </w:r>
          </w:p>
        </w:tc>
        <w:tc>
          <w:tcPr>
            <w:tcW w:w="1624" w:type="dxa"/>
            <w:noWrap w:val="0"/>
            <w:vAlign w:val="top"/>
          </w:tcPr>
          <w:p>
            <w:pPr>
              <w:jc w:val="center"/>
              <w:rPr>
                <w:rFonts w:hint="eastAsia" w:ascii="仿宋_GB2312" w:hAnsi="仿宋_GB2312" w:eastAsia="仿宋_GB2312" w:cs="仿宋_GB2312"/>
                <w:sz w:val="24"/>
                <w:szCs w:val="24"/>
                <w:vertAlign w:val="baseline"/>
                <w:lang w:val="en-US" w:eastAsia="zh-CN"/>
              </w:rPr>
            </w:pPr>
          </w:p>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21</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农村客运班线通行条件联合审核机制运行情况</w:t>
            </w:r>
          </w:p>
        </w:tc>
        <w:tc>
          <w:tcPr>
            <w:tcW w:w="1624" w:type="dxa"/>
            <w:noWrap w:val="0"/>
            <w:vAlign w:val="top"/>
          </w:tcPr>
          <w:p>
            <w:pPr>
              <w:spacing w:line="720" w:lineRule="auto"/>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22</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经费保障情况</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县级人民政府制定财政补贴政策，保障农村公路建设、养护、管理和农村客货运输、农村邮政、城市公交等城乡交通运输服务稳定运营的情况</w:t>
            </w:r>
          </w:p>
        </w:tc>
        <w:tc>
          <w:tcPr>
            <w:tcW w:w="1624" w:type="dxa"/>
            <w:noWrap w:val="0"/>
            <w:vAlign w:val="top"/>
          </w:tcPr>
          <w:p>
            <w:pPr>
              <w:jc w:val="center"/>
              <w:rPr>
                <w:rFonts w:hint="eastAsia" w:ascii="仿宋_GB2312" w:hAnsi="仿宋_GB2312" w:eastAsia="仿宋_GB2312" w:cs="仿宋_GB2312"/>
                <w:sz w:val="24"/>
                <w:szCs w:val="24"/>
                <w:vertAlign w:val="baseline"/>
                <w:lang w:val="en-US" w:eastAsia="zh-CN"/>
              </w:rPr>
            </w:pPr>
          </w:p>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23</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跨业融合情况</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交通运输企业与邮政、快递等企业的合作情况</w:t>
            </w:r>
          </w:p>
        </w:tc>
        <w:tc>
          <w:tcPr>
            <w:tcW w:w="1624" w:type="dxa"/>
            <w:noWrap w:val="0"/>
            <w:vAlign w:val="top"/>
          </w:tcPr>
          <w:p>
            <w:pPr>
              <w:spacing w:line="720" w:lineRule="auto"/>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24</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依托资源产业、生态旅游、电子商务等资源发展农村物流，支撑农村地区经济发展的情况</w:t>
            </w:r>
          </w:p>
        </w:tc>
        <w:tc>
          <w:tcPr>
            <w:tcW w:w="1624" w:type="dxa"/>
            <w:noWrap w:val="0"/>
            <w:vAlign w:val="top"/>
          </w:tcPr>
          <w:p>
            <w:pPr>
              <w:jc w:val="center"/>
              <w:rPr>
                <w:rFonts w:hint="eastAsia" w:ascii="仿宋_GB2312" w:hAnsi="仿宋_GB2312" w:eastAsia="仿宋_GB2312" w:cs="仿宋_GB2312"/>
                <w:sz w:val="24"/>
                <w:szCs w:val="24"/>
                <w:vertAlign w:val="baseline"/>
                <w:lang w:val="en-US" w:eastAsia="zh-CN"/>
              </w:rPr>
            </w:pPr>
          </w:p>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25</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规划及管理保障情况</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对城乡交通运输一体化发展进行合理规划的情况</w:t>
            </w:r>
          </w:p>
        </w:tc>
        <w:tc>
          <w:tcPr>
            <w:tcW w:w="1624" w:type="dxa"/>
            <w:noWrap w:val="0"/>
            <w:vAlign w:val="top"/>
          </w:tcPr>
          <w:p>
            <w:pPr>
              <w:spacing w:line="480" w:lineRule="auto"/>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26</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农村客运采用“一县一公司”方式统筹管理的情况</w:t>
            </w:r>
          </w:p>
        </w:tc>
        <w:tc>
          <w:tcPr>
            <w:tcW w:w="1624" w:type="dxa"/>
            <w:noWrap w:val="0"/>
            <w:vAlign w:val="top"/>
          </w:tcPr>
          <w:p>
            <w:pPr>
              <w:spacing w:line="360" w:lineRule="auto"/>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27</w:t>
            </w:r>
          </w:p>
        </w:tc>
        <w:tc>
          <w:tcPr>
            <w:tcW w:w="1455"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加分项</w:t>
            </w:r>
          </w:p>
        </w:tc>
        <w:tc>
          <w:tcPr>
            <w:tcW w:w="232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贫困县建制村通客车进展情况</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贫困县建制村通客车工作年度进展情况</w:t>
            </w:r>
          </w:p>
        </w:tc>
        <w:tc>
          <w:tcPr>
            <w:tcW w:w="1624" w:type="dxa"/>
            <w:noWrap w:val="0"/>
            <w:vAlign w:val="top"/>
          </w:tcPr>
          <w:p>
            <w:pPr>
              <w:spacing w:line="480" w:lineRule="auto"/>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28</w:t>
            </w:r>
          </w:p>
        </w:tc>
        <w:tc>
          <w:tcPr>
            <w:tcW w:w="1455"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32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经验宣传推广情况</w:t>
            </w:r>
          </w:p>
        </w:tc>
        <w:tc>
          <w:tcPr>
            <w:tcW w:w="4466"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典型经验的总结和交流情况</w:t>
            </w:r>
          </w:p>
        </w:tc>
        <w:tc>
          <w:tcPr>
            <w:tcW w:w="1624" w:type="dxa"/>
            <w:noWrap w:val="0"/>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56" w:type="dxa"/>
            <w:gridSpan w:val="4"/>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本市县城乡交通运输一体化发展水平自评估分值汇总</w:t>
            </w:r>
          </w:p>
        </w:tc>
        <w:tc>
          <w:tcPr>
            <w:tcW w:w="1624" w:type="dxa"/>
            <w:noWrap w:val="0"/>
            <w:vAlign w:val="top"/>
          </w:tcPr>
          <w:p>
            <w:pPr>
              <w:spacing w:line="360" w:lineRule="auto"/>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90.9分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056" w:type="dxa"/>
            <w:gridSpan w:val="4"/>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本市县城乡交通运输一体化发展水平自评估等级</w:t>
            </w:r>
          </w:p>
        </w:tc>
        <w:tc>
          <w:tcPr>
            <w:tcW w:w="1624" w:type="dxa"/>
            <w:noWrap w:val="0"/>
            <w:vAlign w:val="top"/>
          </w:tcPr>
          <w:p>
            <w:pPr>
              <w:spacing w:line="360" w:lineRule="auto"/>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AAAAA级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680" w:type="dxa"/>
            <w:gridSpan w:val="5"/>
            <w:noWrap w:val="0"/>
            <w:vAlign w:val="center"/>
          </w:tcPr>
          <w:p>
            <w:pPr>
              <w:jc w:val="left"/>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审核单位（公章）：                审核人（两人以上）签字：             审核日期：</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TBkZGUyZGM3YzUxNmVkNDhhMTBlMzY5MGVjNmUifQ=="/>
  </w:docVars>
  <w:rsids>
    <w:rsidRoot w:val="00000000"/>
    <w:rsid w:val="04891CFE"/>
    <w:rsid w:val="5C1B25E0"/>
    <w:rsid w:val="65F907C9"/>
    <w:rsid w:val="70CF07A8"/>
    <w:rsid w:val="7FE360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1357</Words>
  <Characters>1406</Characters>
  <Lines>0</Lines>
  <Paragraphs>0</Paragraphs>
  <TotalTime>12</TotalTime>
  <ScaleCrop>false</ScaleCrop>
  <LinksUpToDate>false</LinksUpToDate>
  <CharactersWithSpaces>1490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侯秉辰</dc:creator>
  <cp:lastModifiedBy>阳光</cp:lastModifiedBy>
  <dcterms:modified xsi:type="dcterms:W3CDTF">2022-04-29T01:11:46Z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90E02763827241DABE5ED464C69A8B76</vt:lpwstr>
  </property>
</Properties>
</file>