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780" w:beforeLines="250" w:after="312" w:afterLines="100" w:line="100" w:lineRule="exact"/>
        <w:jc w:val="center"/>
        <w:rPr>
          <w:rFonts w:hint="eastAsia" w:ascii="方正中等线简体" w:hAnsi="宋体" w:eastAsia="方正中等线简体"/>
          <w:color w:val="000000" w:themeColor="text1"/>
          <w:spacing w:val="-20"/>
          <w:sz w:val="52"/>
          <w:szCs w:val="52"/>
          <w:u w:val="none"/>
          <w14:textFill>
            <w14:solidFill>
              <w14:schemeClr w14:val="tx1"/>
            </w14:solidFill>
          </w14:textFill>
        </w:rPr>
      </w:pPr>
    </w:p>
    <w:p>
      <w:pPr>
        <w:spacing w:line="480" w:lineRule="auto"/>
        <w:jc w:val="center"/>
        <w:rPr>
          <w:color w:val="000000" w:themeColor="text1"/>
          <w:sz w:val="28"/>
          <w:szCs w:val="28"/>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r>
        <w:rPr>
          <w:rFonts w:hint="eastAsia" w:ascii="宋体" w:hAnsi="宋体" w:cs="宋体"/>
          <w:color w:val="000000" w:themeColor="text1"/>
          <w:sz w:val="44"/>
          <w:szCs w:val="44"/>
          <w:u w:val="none"/>
          <w14:textFill>
            <w14:solidFill>
              <w14:schemeClr w14:val="tx1"/>
            </w14:solidFill>
          </w14:textFill>
        </w:rPr>
        <w:t>本溪市本级河道</w:t>
      </w:r>
      <w:r>
        <w:rPr>
          <w:rFonts w:hint="eastAsia" w:ascii="宋体" w:hAnsi="宋体" w:cs="宋体"/>
          <w:color w:val="auto"/>
          <w:sz w:val="44"/>
          <w:szCs w:val="44"/>
          <w:u w:val="none"/>
        </w:rPr>
        <w:t>和水利工程</w:t>
      </w:r>
      <w:r>
        <w:rPr>
          <w:rFonts w:hint="eastAsia" w:ascii="宋体" w:hAnsi="宋体" w:cs="宋体"/>
          <w:color w:val="000000" w:themeColor="text1"/>
          <w:sz w:val="44"/>
          <w:szCs w:val="44"/>
          <w:u w:val="none"/>
          <w14:textFill>
            <w14:solidFill>
              <w14:schemeClr w14:val="tx1"/>
            </w14:solidFill>
          </w14:textFill>
        </w:rPr>
        <w:t>管理范围划定</w:t>
      </w:r>
    </w:p>
    <w:p>
      <w:pPr>
        <w:spacing w:line="480" w:lineRule="auto"/>
        <w:jc w:val="center"/>
        <w:rPr>
          <w:rFonts w:ascii="宋体" w:hAnsi="宋体" w:cs="宋体"/>
          <w:color w:val="000000" w:themeColor="text1"/>
          <w:sz w:val="30"/>
          <w:szCs w:val="30"/>
          <w:u w:val="none"/>
          <w14:textFill>
            <w14:solidFill>
              <w14:schemeClr w14:val="tx1"/>
            </w14:solidFill>
          </w14:textFill>
        </w:rPr>
      </w:pPr>
      <w:r>
        <w:rPr>
          <w:rFonts w:hint="eastAsia" w:ascii="宋体" w:hAnsi="宋体" w:cs="宋体"/>
          <w:color w:val="000000" w:themeColor="text1"/>
          <w:sz w:val="44"/>
          <w:szCs w:val="44"/>
          <w:u w:val="none"/>
          <w14:textFill>
            <w14:solidFill>
              <w14:schemeClr w14:val="tx1"/>
            </w14:solidFill>
          </w14:textFill>
        </w:rPr>
        <w:t>实施方案</w:t>
      </w: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p>
    <w:p>
      <w:pPr>
        <w:spacing w:line="480" w:lineRule="auto"/>
        <w:jc w:val="center"/>
        <w:rPr>
          <w:rFonts w:ascii="宋体" w:hAnsi="宋体" w:cs="宋体"/>
          <w:color w:val="000000" w:themeColor="text1"/>
          <w:sz w:val="44"/>
          <w:szCs w:val="44"/>
          <w:u w:val="none"/>
          <w14:textFill>
            <w14:solidFill>
              <w14:schemeClr w14:val="tx1"/>
            </w14:solidFill>
          </w14:textFill>
        </w:rPr>
      </w:pPr>
      <w:r>
        <w:rPr>
          <w:rFonts w:eastAsia="方正大标宋简体"/>
          <w:color w:val="000000" w:themeColor="text1"/>
          <w:sz w:val="28"/>
          <w:szCs w:val="28"/>
          <w:u w:val="none"/>
          <w14:textFill>
            <w14:solidFill>
              <w14:schemeClr w14:val="tx1"/>
            </w14:solidFill>
          </w14:textFill>
        </w:rPr>
        <w:drawing>
          <wp:inline distT="0" distB="0" distL="114300" distR="114300">
            <wp:extent cx="1453515" cy="91440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biLevel thresh="50000"/>
                      <a:grayscl/>
                    </a:blip>
                    <a:stretch>
                      <a:fillRect/>
                    </a:stretch>
                  </pic:blipFill>
                  <pic:spPr>
                    <a:xfrm>
                      <a:off x="0" y="0"/>
                      <a:ext cx="1453515" cy="914400"/>
                    </a:xfrm>
                    <a:prstGeom prst="rect">
                      <a:avLst/>
                    </a:prstGeom>
                    <a:noFill/>
                    <a:ln>
                      <a:noFill/>
                    </a:ln>
                  </pic:spPr>
                </pic:pic>
              </a:graphicData>
            </a:graphic>
          </wp:inline>
        </w:drawing>
      </w:r>
    </w:p>
    <w:p>
      <w:pPr>
        <w:jc w:val="center"/>
        <w:rPr>
          <w:rFonts w:ascii="宋体" w:hAnsi="宋体"/>
          <w:color w:val="000000" w:themeColor="text1"/>
          <w:sz w:val="32"/>
          <w:szCs w:val="32"/>
          <w:u w:val="none"/>
          <w14:textFill>
            <w14:solidFill>
              <w14:schemeClr w14:val="tx1"/>
            </w14:solidFill>
          </w14:textFill>
        </w:rPr>
      </w:pPr>
      <w:r>
        <w:rPr>
          <w:rFonts w:hint="eastAsia" w:ascii="宋体" w:hAnsi="宋体"/>
          <w:color w:val="000000" w:themeColor="text1"/>
          <w:sz w:val="32"/>
          <w:szCs w:val="32"/>
          <w:u w:val="none"/>
          <w14:textFill>
            <w14:solidFill>
              <w14:schemeClr w14:val="tx1"/>
            </w14:solidFill>
          </w14:textFill>
        </w:rPr>
        <w:t>本溪市水利电力勘测设计有限责任公司</w:t>
      </w:r>
    </w:p>
    <w:p>
      <w:pPr>
        <w:spacing w:line="480" w:lineRule="auto"/>
        <w:jc w:val="center"/>
        <w:rPr>
          <w:rFonts w:ascii="宋体" w:hAnsi="宋体" w:cs="宋体"/>
          <w:color w:val="000000" w:themeColor="text1"/>
          <w:sz w:val="44"/>
          <w:szCs w:val="44"/>
          <w:u w:val="none"/>
          <w14:textFill>
            <w14:solidFill>
              <w14:schemeClr w14:val="tx1"/>
            </w14:solidFill>
          </w14:textFill>
        </w:rPr>
      </w:pPr>
      <w:r>
        <w:rPr>
          <w:rFonts w:hint="eastAsia" w:ascii="宋体" w:hAnsi="宋体"/>
          <w:color w:val="000000" w:themeColor="text1"/>
          <w:sz w:val="28"/>
          <w:szCs w:val="28"/>
          <w:u w:val="none"/>
          <w14:textFill>
            <w14:solidFill>
              <w14:schemeClr w14:val="tx1"/>
            </w14:solidFill>
          </w14:textFill>
        </w:rPr>
        <w:t>2018年11月</w:t>
      </w:r>
    </w:p>
    <w:p>
      <w:pPr>
        <w:spacing w:line="480" w:lineRule="auto"/>
        <w:jc w:val="center"/>
        <w:rPr>
          <w:rFonts w:ascii="宋体" w:hAnsi="宋体" w:cs="宋体"/>
          <w:color w:val="000000" w:themeColor="text1"/>
          <w:sz w:val="32"/>
          <w:szCs w:val="32"/>
          <w:u w:val="none"/>
          <w14:textFill>
            <w14:solidFill>
              <w14:schemeClr w14:val="tx1"/>
            </w14:solidFill>
          </w14:textFill>
        </w:rPr>
        <w:sectPr>
          <w:headerReference r:id="rId3" w:type="default"/>
          <w:pgSz w:w="11906" w:h="16838"/>
          <w:pgMar w:top="1418" w:right="1134" w:bottom="1134" w:left="1701" w:header="851" w:footer="992" w:gutter="0"/>
          <w:pgNumType w:fmt="decimalFullWidth"/>
          <w:cols w:space="720" w:num="1"/>
          <w:docGrid w:type="linesAndChars" w:linePitch="312" w:charSpace="0"/>
        </w:sectPr>
      </w:pPr>
    </w:p>
    <w:p>
      <w:pPr>
        <w:spacing w:line="800" w:lineRule="exact"/>
        <w:jc w:val="center"/>
        <w:rPr>
          <w:rFonts w:ascii="黑体" w:eastAsia="黑体"/>
          <w:b/>
          <w:bCs/>
          <w:color w:val="000000" w:themeColor="text1"/>
          <w:spacing w:val="16"/>
          <w:sz w:val="32"/>
          <w:szCs w:val="32"/>
          <w:u w:val="none"/>
          <w14:textFill>
            <w14:solidFill>
              <w14:schemeClr w14:val="tx1"/>
            </w14:solidFill>
          </w14:textFill>
        </w:rPr>
      </w:pPr>
    </w:p>
    <w:p>
      <w:pPr>
        <w:spacing w:line="800" w:lineRule="exact"/>
        <w:jc w:val="center"/>
        <w:rPr>
          <w:rFonts w:ascii="黑体" w:eastAsia="黑体"/>
          <w:b/>
          <w:bCs/>
          <w:color w:val="000000" w:themeColor="text1"/>
          <w:spacing w:val="16"/>
          <w:sz w:val="32"/>
          <w:szCs w:val="32"/>
          <w:u w:val="none"/>
          <w14:textFill>
            <w14:solidFill>
              <w14:schemeClr w14:val="tx1"/>
            </w14:solidFill>
          </w14:textFill>
        </w:rPr>
      </w:pPr>
    </w:p>
    <w:p>
      <w:pPr>
        <w:spacing w:line="500" w:lineRule="exact"/>
        <w:jc w:val="center"/>
        <w:rPr>
          <w:rFonts w:ascii="黑体" w:hAnsi="Times New Roman" w:eastAsia="黑体"/>
          <w:b/>
          <w:bCs/>
          <w:color w:val="000000" w:themeColor="text1"/>
          <w:spacing w:val="16"/>
          <w:sz w:val="32"/>
          <w:szCs w:val="32"/>
          <w:u w:val="none"/>
          <w14:textFill>
            <w14:solidFill>
              <w14:schemeClr w14:val="tx1"/>
            </w14:solidFill>
          </w14:textFill>
        </w:rPr>
      </w:pPr>
      <w:r>
        <w:rPr>
          <w:rFonts w:hint="eastAsia" w:ascii="黑体" w:hAnsi="Times New Roman" w:eastAsia="黑体"/>
          <w:b/>
          <w:bCs/>
          <w:color w:val="000000" w:themeColor="text1"/>
          <w:spacing w:val="16"/>
          <w:sz w:val="32"/>
          <w:szCs w:val="32"/>
          <w:u w:val="none"/>
          <w14:textFill>
            <w14:solidFill>
              <w14:schemeClr w14:val="tx1"/>
            </w14:solidFill>
          </w14:textFill>
        </w:rPr>
        <w:t>本溪市本级河道和水利工程管理范围划定实施方案</w:t>
      </w:r>
    </w:p>
    <w:p>
      <w:pPr>
        <w:spacing w:before="163" w:beforeLines="50" w:line="600" w:lineRule="exact"/>
        <w:jc w:val="center"/>
        <w:rPr>
          <w:rFonts w:ascii="宋体" w:hAnsi="宋体"/>
          <w:color w:val="000000" w:themeColor="text1"/>
          <w:sz w:val="28"/>
          <w:u w:val="none"/>
          <w14:textFill>
            <w14:solidFill>
              <w14:schemeClr w14:val="tx1"/>
            </w14:solidFill>
          </w14:textFill>
        </w:rPr>
      </w:pPr>
      <w:r>
        <w:rPr>
          <w:rFonts w:hint="eastAsia" w:ascii="宋体" w:hAnsi="宋体"/>
          <w:color w:val="000000" w:themeColor="text1"/>
          <w:sz w:val="28"/>
          <w:u w:val="none"/>
          <w14:textFill>
            <w14:solidFill>
              <w14:schemeClr w14:val="tx1"/>
            </w14:solidFill>
          </w14:textFill>
        </w:rPr>
        <w:t>本溪市水利电力勘测设计有限责任公司</w:t>
      </w:r>
    </w:p>
    <w:p>
      <w:pPr>
        <w:spacing w:before="163" w:beforeLines="50" w:line="600" w:lineRule="exact"/>
        <w:jc w:val="center"/>
        <w:rPr>
          <w:rFonts w:ascii="宋体" w:hAnsi="宋体"/>
          <w:color w:val="000000" w:themeColor="text1"/>
          <w:sz w:val="28"/>
          <w:u w:val="none"/>
          <w14:textFill>
            <w14:solidFill>
              <w14:schemeClr w14:val="tx1"/>
            </w14:solidFill>
          </w14:textFill>
        </w:rPr>
      </w:pPr>
      <w:r>
        <w:rPr>
          <w:rFonts w:hint="eastAsia" w:ascii="宋体" w:hAnsi="宋体"/>
          <w:color w:val="000000" w:themeColor="text1"/>
          <w:sz w:val="28"/>
          <w:u w:val="none"/>
          <w14:textFill>
            <w14:solidFill>
              <w14:schemeClr w14:val="tx1"/>
            </w14:solidFill>
          </w14:textFill>
        </w:rPr>
        <w:t>设计证号：工咨乙10620070015</w:t>
      </w:r>
    </w:p>
    <w:p>
      <w:pPr>
        <w:spacing w:line="600" w:lineRule="exact"/>
        <w:ind w:left="1260" w:leftChars="600"/>
        <w:jc w:val="center"/>
        <w:rPr>
          <w:rFonts w:ascii="黑体" w:eastAsia="黑体"/>
          <w:color w:val="000000" w:themeColor="text1"/>
          <w:sz w:val="30"/>
          <w:u w:val="none"/>
          <w14:textFill>
            <w14:solidFill>
              <w14:schemeClr w14:val="tx1"/>
            </w14:solidFill>
          </w14:textFill>
        </w:rPr>
      </w:pPr>
    </w:p>
    <w:p>
      <w:pPr>
        <w:spacing w:line="600" w:lineRule="exact"/>
        <w:ind w:left="1260" w:leftChars="600"/>
        <w:jc w:val="center"/>
        <w:rPr>
          <w:rFonts w:ascii="黑体" w:eastAsia="黑体"/>
          <w:color w:val="000000" w:themeColor="text1"/>
          <w:sz w:val="30"/>
          <w:u w:val="none"/>
          <w14:textFill>
            <w14:solidFill>
              <w14:schemeClr w14:val="tx1"/>
            </w14:solidFill>
          </w14:textFill>
        </w:rPr>
      </w:pPr>
    </w:p>
    <w:p>
      <w:pPr>
        <w:pStyle w:val="4"/>
        <w:spacing w:line="720" w:lineRule="exact"/>
        <w:ind w:firstLine="3120" w:firstLineChars="13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经          理： 徐晓春</w:t>
      </w:r>
    </w:p>
    <w:p>
      <w:pPr>
        <w:pStyle w:val="4"/>
        <w:spacing w:line="720" w:lineRule="exact"/>
        <w:ind w:firstLine="3120" w:firstLineChars="13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核          定： 于巍巍</w:t>
      </w:r>
    </w:p>
    <w:p>
      <w:pPr>
        <w:pStyle w:val="4"/>
        <w:spacing w:line="720" w:lineRule="exact"/>
        <w:ind w:firstLine="3120" w:firstLineChars="13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审          查： 罗  坡</w:t>
      </w:r>
    </w:p>
    <w:p>
      <w:pPr>
        <w:pStyle w:val="4"/>
        <w:spacing w:line="720" w:lineRule="exact"/>
        <w:ind w:left="420" w:leftChars="200" w:firstLine="2640" w:firstLineChars="11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校           审：王兴跃</w:t>
      </w:r>
      <w:bookmarkStart w:id="76" w:name="_GoBack"/>
      <w:bookmarkEnd w:id="76"/>
    </w:p>
    <w:p>
      <w:pPr>
        <w:pStyle w:val="4"/>
        <w:spacing w:line="720" w:lineRule="exact"/>
        <w:ind w:firstLine="3120" w:firstLineChars="13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项 目 负 责 人： 林治鑫</w:t>
      </w:r>
    </w:p>
    <w:p>
      <w:pPr>
        <w:pStyle w:val="4"/>
        <w:spacing w:line="720" w:lineRule="exact"/>
        <w:ind w:left="420" w:leftChars="200" w:firstLine="0"/>
        <w:jc w:val="center"/>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 xml:space="preserve">         参  加   人  员： 冯 洁  张晓宇  张宇珍</w:t>
      </w:r>
    </w:p>
    <w:p>
      <w:pPr>
        <w:rPr>
          <w:color w:val="000000" w:themeColor="text1"/>
          <w:u w:val="none"/>
          <w14:textFill>
            <w14:solidFill>
              <w14:schemeClr w14:val="tx1"/>
            </w14:solidFill>
          </w14:textFill>
        </w:rPr>
      </w:pPr>
    </w:p>
    <w:p>
      <w:pPr>
        <w:adjustRightInd w:val="0"/>
        <w:snapToGrid w:val="0"/>
        <w:spacing w:before="489" w:beforeLines="150" w:after="326" w:afterLines="100" w:line="400" w:lineRule="atLeast"/>
        <w:jc w:val="center"/>
        <w:rPr>
          <w:rFonts w:ascii="方正中等线简体" w:eastAsia="方正中等线简体"/>
          <w:color w:val="000000" w:themeColor="text1"/>
          <w:sz w:val="32"/>
          <w:szCs w:val="32"/>
          <w:u w:val="none"/>
          <w14:textFill>
            <w14:solidFill>
              <w14:schemeClr w14:val="tx1"/>
            </w14:solidFill>
          </w14:textFill>
        </w:rPr>
      </w:pPr>
    </w:p>
    <w:p>
      <w:pPr>
        <w:adjustRightInd w:val="0"/>
        <w:snapToGrid w:val="0"/>
        <w:spacing w:before="489" w:beforeLines="150" w:after="326" w:afterLines="100" w:line="400" w:lineRule="atLeast"/>
        <w:jc w:val="center"/>
        <w:rPr>
          <w:rFonts w:ascii="方正中等线简体" w:eastAsia="方正中等线简体"/>
          <w:color w:val="000000" w:themeColor="text1"/>
          <w:sz w:val="32"/>
          <w:szCs w:val="32"/>
          <w:u w:val="none"/>
          <w14:textFill>
            <w14:solidFill>
              <w14:schemeClr w14:val="tx1"/>
            </w14:solidFill>
          </w14:textFill>
        </w:rPr>
      </w:pPr>
    </w:p>
    <w:p>
      <w:pPr>
        <w:adjustRightInd w:val="0"/>
        <w:snapToGrid w:val="0"/>
        <w:spacing w:before="489" w:beforeLines="150" w:after="326" w:afterLines="100" w:line="400" w:lineRule="atLeast"/>
        <w:jc w:val="center"/>
        <w:rPr>
          <w:rFonts w:ascii="方正中等线简体" w:eastAsia="方正中等线简体"/>
          <w:color w:val="000000" w:themeColor="text1"/>
          <w:sz w:val="32"/>
          <w:szCs w:val="32"/>
          <w:u w:val="none"/>
          <w14:textFill>
            <w14:solidFill>
              <w14:schemeClr w14:val="tx1"/>
            </w14:solidFill>
          </w14:textFill>
        </w:rPr>
      </w:pPr>
    </w:p>
    <w:p>
      <w:pPr>
        <w:adjustRightInd w:val="0"/>
        <w:snapToGrid w:val="0"/>
        <w:spacing w:before="489" w:beforeLines="150" w:after="326" w:afterLines="100" w:line="400" w:lineRule="atLeast"/>
        <w:jc w:val="center"/>
        <w:rPr>
          <w:rFonts w:ascii="方正中等线简体" w:eastAsia="方正中等线简体"/>
          <w:color w:val="000000" w:themeColor="text1"/>
          <w:sz w:val="32"/>
          <w:szCs w:val="32"/>
          <w:u w:val="none"/>
          <w14:textFill>
            <w14:solidFill>
              <w14:schemeClr w14:val="tx1"/>
            </w14:solidFill>
          </w14:textFill>
        </w:rPr>
      </w:pPr>
    </w:p>
    <w:p>
      <w:pPr>
        <w:adjustRightInd w:val="0"/>
        <w:snapToGrid w:val="0"/>
        <w:spacing w:before="489" w:beforeLines="150" w:after="326" w:afterLines="100" w:line="400" w:lineRule="atLeast"/>
        <w:jc w:val="center"/>
        <w:rPr>
          <w:rFonts w:ascii="方正中等线简体" w:eastAsia="方正中等线简体"/>
          <w:color w:val="000000" w:themeColor="text1"/>
          <w:sz w:val="32"/>
          <w:szCs w:val="32"/>
          <w:u w:val="none"/>
          <w14:textFill>
            <w14:solidFill>
              <w14:schemeClr w14:val="tx1"/>
            </w14:solidFill>
          </w14:textFill>
        </w:rPr>
      </w:pPr>
      <w:r>
        <w:rPr>
          <w:rFonts w:hint="eastAsia" w:ascii="方正中等线简体" w:eastAsia="方正中等线简体"/>
          <w:color w:val="000000" w:themeColor="text1"/>
          <w:sz w:val="32"/>
          <w:szCs w:val="32"/>
          <w:u w:val="none"/>
          <w14:textFill>
            <w14:solidFill>
              <w14:schemeClr w14:val="tx1"/>
            </w14:solidFill>
          </w14:textFill>
        </w:rPr>
        <w:t>目  录</w:t>
      </w:r>
    </w:p>
    <w:p>
      <w:pPr>
        <w:pStyle w:val="9"/>
        <w:tabs>
          <w:tab w:val="right" w:leader="dot" w:pos="9298"/>
        </w:tabs>
        <w:rPr>
          <w:color w:val="000000" w:themeColor="text1"/>
          <w:u w:val="none"/>
          <w14:textFill>
            <w14:solidFill>
              <w14:schemeClr w14:val="tx1"/>
            </w14:solidFill>
          </w14:textFill>
        </w:rPr>
      </w:pPr>
      <w:r>
        <w:rPr>
          <w:rFonts w:ascii="黑体" w:hAnsi="黑体" w:eastAsia="黑体" w:cs="黑体"/>
          <w:color w:val="000000" w:themeColor="text1"/>
          <w:sz w:val="24"/>
          <w:szCs w:val="24"/>
          <w:u w:val="none"/>
          <w14:textFill>
            <w14:solidFill>
              <w14:schemeClr w14:val="tx1"/>
            </w14:solidFill>
          </w14:textFill>
        </w:rPr>
        <w:fldChar w:fldCharType="begin"/>
      </w:r>
      <w:r>
        <w:rPr>
          <w:rFonts w:ascii="黑体" w:hAnsi="黑体" w:eastAsia="黑体" w:cs="黑体"/>
          <w:color w:val="000000" w:themeColor="text1"/>
          <w:sz w:val="24"/>
          <w:szCs w:val="24"/>
          <w:u w:val="none"/>
          <w14:textFill>
            <w14:solidFill>
              <w14:schemeClr w14:val="tx1"/>
            </w14:solidFill>
          </w14:textFill>
        </w:rPr>
        <w:instrText xml:space="preserve"> TOC \o "1-2" \h \z \u </w:instrText>
      </w:r>
      <w:r>
        <w:rPr>
          <w:rFonts w:ascii="黑体" w:hAnsi="黑体" w:eastAsia="黑体" w:cs="黑体"/>
          <w:color w:val="000000" w:themeColor="text1"/>
          <w:sz w:val="24"/>
          <w:szCs w:val="24"/>
          <w:u w:val="none"/>
          <w14:textFill>
            <w14:solidFill>
              <w14:schemeClr w14:val="tx1"/>
            </w14:solidFill>
          </w14:textFill>
        </w:rPr>
        <w:fldChar w:fldCharType="separate"/>
      </w: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_Toc13415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前言</w:t>
      </w:r>
      <w:r>
        <w:rPr>
          <w:color w:val="000000" w:themeColor="text1"/>
          <w:u w:val="none"/>
          <w14:textFill>
            <w14:solidFill>
              <w14:schemeClr w14:val="tx1"/>
            </w14:solidFill>
          </w14:textFill>
        </w:rPr>
        <w:tab/>
      </w:r>
      <w:r>
        <w:rPr>
          <w:rFonts w:hint="eastAsia" w:ascii="宋体" w:hAnsi="宋体" w:cs="宋体"/>
          <w:color w:val="000000" w:themeColor="text1"/>
          <w:u w:val="none"/>
          <w14:textFill>
            <w14:solidFill>
              <w14:schemeClr w14:val="tx1"/>
            </w14:solidFill>
          </w14:textFill>
        </w:rPr>
        <w:fldChar w:fldCharType="begin"/>
      </w:r>
      <w:r>
        <w:rPr>
          <w:rFonts w:hint="eastAsia" w:ascii="宋体" w:hAnsi="宋体" w:cs="宋体"/>
          <w:color w:val="000000" w:themeColor="text1"/>
          <w:u w:val="none"/>
          <w14:textFill>
            <w14:solidFill>
              <w14:schemeClr w14:val="tx1"/>
            </w14:solidFill>
          </w14:textFill>
        </w:rPr>
        <w:instrText xml:space="preserve"> PAGEREF _Toc13415 </w:instrText>
      </w:r>
      <w:r>
        <w:rPr>
          <w:rFonts w:hint="eastAsia" w:ascii="宋体" w:hAnsi="宋体" w:cs="宋体"/>
          <w:color w:val="000000" w:themeColor="text1"/>
          <w:u w:val="none"/>
          <w14:textFill>
            <w14:solidFill>
              <w14:schemeClr w14:val="tx1"/>
            </w14:solidFill>
          </w14:textFill>
        </w:rPr>
        <w:fldChar w:fldCharType="separate"/>
      </w:r>
      <w:r>
        <w:rPr>
          <w:rFonts w:hint="eastAsia" w:ascii="宋体" w:hAnsi="宋体" w:cs="宋体"/>
          <w:color w:val="000000" w:themeColor="text1"/>
          <w:u w:val="none"/>
          <w14:textFill>
            <w14:solidFill>
              <w14:schemeClr w14:val="tx1"/>
            </w14:solidFill>
          </w14:textFill>
        </w:rPr>
        <w:t>１</w:t>
      </w:r>
      <w:r>
        <w:rPr>
          <w:rFonts w:hint="eastAsia" w:ascii="宋体" w:hAnsi="宋体" w:cs="宋体"/>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_Toc22048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30"/>
          <w:u w:val="none"/>
          <w14:textFill>
            <w14:solidFill>
              <w14:schemeClr w14:val="tx1"/>
            </w14:solidFill>
          </w14:textFill>
        </w:rPr>
        <w:t>1 基本情况</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_Toc22048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_Toc18060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1.1河道和水利工程概况</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_Toc18060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_Toc30070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1.2划界现状及存在问题</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_Toc30070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６</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_Toc9681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1.3划界的必要性和可行性</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_Toc9681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６</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_Toc24590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2、指导思想和基本原则</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_Toc24590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９</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_Toc25952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2.1指导思想</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_Toc25952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９</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_Toc14203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2.2基本原则</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_Toc14203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９</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_Toc24676 </w:instrText>
      </w:r>
      <w:r>
        <w:rPr>
          <w:rFonts w:hint="eastAsia" w:ascii="黑体" w:hAnsi="黑体" w:eastAsia="黑体" w:cs="黑体"/>
          <w:color w:val="000000" w:themeColor="text1"/>
          <w:szCs w:val="24"/>
          <w:u w:val="none"/>
          <w14:textFill>
            <w14:solidFill>
              <w14:schemeClr w14:val="tx1"/>
            </w14:solidFill>
          </w14:textFill>
        </w:rPr>
        <w:fldChar w:fldCharType="separate"/>
      </w:r>
      <w:r>
        <w:rPr>
          <w:color w:val="000000" w:themeColor="text1"/>
          <w:u w:val="none"/>
          <w14:textFill>
            <w14:solidFill>
              <w14:schemeClr w14:val="tx1"/>
            </w14:solidFill>
          </w14:textFill>
        </w:rPr>
        <w:t xml:space="preserve">3、 </w:t>
      </w:r>
      <w:r>
        <w:rPr>
          <w:rFonts w:hint="eastAsia"/>
          <w:color w:val="000000" w:themeColor="text1"/>
          <w:u w:val="none"/>
          <w14:textFill>
            <w14:solidFill>
              <w14:schemeClr w14:val="tx1"/>
            </w14:solidFill>
          </w14:textFill>
        </w:rPr>
        <w:t>目标和任务要求</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_Toc24676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１０</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_Toc30639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3.1总体目标</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_Toc30639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１０</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_Toc27816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3.2划界范围</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_Toc27816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１０</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_Toc19041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s="宋体"/>
          <w:color w:val="000000" w:themeColor="text1"/>
          <w:szCs w:val="30"/>
          <w:u w:val="none"/>
          <w14:textFill>
            <w14:solidFill>
              <w14:schemeClr w14:val="tx1"/>
            </w14:solidFill>
          </w14:textFill>
        </w:rPr>
        <w:t>4、</w:t>
      </w:r>
      <w:r>
        <w:rPr>
          <w:rFonts w:hint="eastAsia"/>
          <w:color w:val="000000" w:themeColor="text1"/>
          <w:szCs w:val="30"/>
          <w:u w:val="none"/>
          <w14:textFill>
            <w14:solidFill>
              <w14:schemeClr w14:val="tx1"/>
            </w14:solidFill>
          </w14:textFill>
        </w:rPr>
        <w:t>划界依据和标准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_Toc19041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１１</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_Toc29627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4.1划界依据</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_Toc29627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１１</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_Toc1739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4.2划界标准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_Toc1739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１２</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_Toc23602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s="宋体"/>
          <w:color w:val="000000" w:themeColor="text1"/>
          <w:szCs w:val="30"/>
          <w:u w:val="none"/>
          <w14:textFill>
            <w14:solidFill>
              <w14:schemeClr w14:val="tx1"/>
            </w14:solidFill>
          </w14:textFill>
        </w:rPr>
        <w:t>5.主要任务及实施安排</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_Toc23602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１３</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_Toc15467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5.1划界工作</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_Toc15467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_Toc5600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5.2实施安排</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_Toc5600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１８</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_Toc2257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5.3验收</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_Toc2257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２０</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_Toc10491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5.4成果管理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_Toc10491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２１</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_Toc14519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olor w:val="000000" w:themeColor="text1"/>
          <w:szCs w:val="30"/>
          <w:u w:val="none"/>
          <w14:textFill>
            <w14:solidFill>
              <w14:schemeClr w14:val="tx1"/>
            </w14:solidFill>
          </w14:textFill>
        </w:rPr>
        <w:t>6.</w:t>
      </w:r>
      <w:r>
        <w:rPr>
          <w:rFonts w:hint="eastAsia" w:ascii="宋体" w:hAnsi="宋体" w:cs="宋体"/>
          <w:color w:val="000000" w:themeColor="text1"/>
          <w:szCs w:val="30"/>
          <w:u w:val="none"/>
          <w14:textFill>
            <w14:solidFill>
              <w14:schemeClr w14:val="tx1"/>
            </w14:solidFill>
          </w14:textFill>
        </w:rPr>
        <w:t>经费测算</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_Toc14519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２２</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_Toc26441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6.1经费测算编制依据</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_Toc26441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２２</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_Toc30452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6.2</w:t>
      </w:r>
      <w:r>
        <w:rPr>
          <w:rFonts w:hint="eastAsia"/>
          <w:color w:val="000000" w:themeColor="text1"/>
          <w:szCs w:val="24"/>
          <w:u w:val="none"/>
          <w14:textFill>
            <w14:solidFill>
              <w14:schemeClr w14:val="tx1"/>
            </w14:solidFill>
          </w14:textFill>
        </w:rPr>
        <w:t>经费组成及计算标准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_Toc30452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２２</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_Toc6083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olor w:val="000000" w:themeColor="text1"/>
          <w:szCs w:val="30"/>
          <w:u w:val="none"/>
          <w14:textFill>
            <w14:solidFill>
              <w14:schemeClr w14:val="tx1"/>
            </w14:solidFill>
          </w14:textFill>
        </w:rPr>
        <w:t>7、责任分工</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_Toc6083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２４</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_Toc8212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7.1责任分工</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_Toc8212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２４</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_Toc30809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olor w:val="000000" w:themeColor="text1"/>
          <w:szCs w:val="30"/>
          <w:u w:val="none"/>
          <w14:textFill>
            <w14:solidFill>
              <w14:schemeClr w14:val="tx1"/>
            </w14:solidFill>
          </w14:textFill>
        </w:rPr>
        <w:t>8、保障措施</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_Toc30809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_Toc18324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8.1加强组织领导，强化部门协作</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_Toc18324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_Toc3763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8.2落实工作经费，保障工作开展</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_Toc3763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_Toc9235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8.3加强政策研究，创新管理方式</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_Toc9235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_Toc18472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8.4强化宣传培训，引导公众参与</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_Toc18472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２５</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_Toc505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8.5健全监督机制，严格责任落实</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_Toc505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２６</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_Toc10819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ascii="宋体" w:hAnsi="宋体"/>
          <w:color w:val="000000" w:themeColor="text1"/>
          <w:szCs w:val="30"/>
          <w:u w:val="none"/>
          <w14:textFill>
            <w14:solidFill>
              <w14:schemeClr w14:val="tx1"/>
            </w14:solidFill>
          </w14:textFill>
        </w:rPr>
        <w:t>9提供成果</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_Toc10819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２７</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_Toc6241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9.1划界成果</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_Toc6241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２７</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10"/>
        <w:tabs>
          <w:tab w:val="right" w:leader="dot" w:pos="9298"/>
        </w:tabs>
        <w:rPr>
          <w:color w:val="000000" w:themeColor="text1"/>
          <w:u w:val="none"/>
          <w14:textFill>
            <w14:solidFill>
              <w14:schemeClr w14:val="tx1"/>
            </w14:solidFill>
          </w14:textFill>
        </w:rPr>
      </w:pPr>
      <w:r>
        <w:rPr>
          <w:rFonts w:hint="eastAsia" w:ascii="黑体" w:hAnsi="黑体" w:eastAsia="黑体" w:cs="黑体"/>
          <w:color w:val="000000" w:themeColor="text1"/>
          <w:szCs w:val="24"/>
          <w:u w:val="none"/>
          <w14:textFill>
            <w14:solidFill>
              <w14:schemeClr w14:val="tx1"/>
            </w14:solidFill>
          </w14:textFill>
        </w:rPr>
        <w:fldChar w:fldCharType="begin"/>
      </w:r>
      <w:r>
        <w:rPr>
          <w:rFonts w:hint="eastAsia" w:ascii="黑体" w:hAnsi="黑体" w:eastAsia="黑体" w:cs="黑体"/>
          <w:color w:val="000000" w:themeColor="text1"/>
          <w:szCs w:val="24"/>
          <w:u w:val="none"/>
          <w14:textFill>
            <w14:solidFill>
              <w14:schemeClr w14:val="tx1"/>
            </w14:solidFill>
          </w14:textFill>
        </w:rPr>
        <w:instrText xml:space="preserve"> HYPERLINK \l _Toc8327 </w:instrText>
      </w:r>
      <w:r>
        <w:rPr>
          <w:rFonts w:hint="eastAsia" w:ascii="黑体" w:hAnsi="黑体" w:eastAsia="黑体" w:cs="黑体"/>
          <w:color w:val="000000" w:themeColor="text1"/>
          <w:szCs w:val="24"/>
          <w:u w:val="none"/>
          <w14:textFill>
            <w14:solidFill>
              <w14:schemeClr w14:val="tx1"/>
            </w14:solidFill>
          </w14:textFill>
        </w:rPr>
        <w:fldChar w:fldCharType="separate"/>
      </w:r>
      <w:r>
        <w:rPr>
          <w:rFonts w:hint="eastAsia"/>
          <w:color w:val="000000" w:themeColor="text1"/>
          <w:szCs w:val="24"/>
          <w:u w:val="none"/>
          <w14:textFill>
            <w14:solidFill>
              <w14:schemeClr w14:val="tx1"/>
            </w14:solidFill>
          </w14:textFill>
        </w:rPr>
        <w:t>9.2成果</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_Toc8327 </w:instrText>
      </w:r>
      <w:r>
        <w:rPr>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２７</w:t>
      </w:r>
      <w:r>
        <w:rPr>
          <w:color w:val="000000" w:themeColor="text1"/>
          <w:u w:val="none"/>
          <w14:textFill>
            <w14:solidFill>
              <w14:schemeClr w14:val="tx1"/>
            </w14:solidFill>
          </w14:textFill>
        </w:rPr>
        <w:fldChar w:fldCharType="end"/>
      </w:r>
      <w:r>
        <w:rPr>
          <w:rFonts w:hint="eastAsia" w:ascii="黑体" w:hAnsi="黑体" w:eastAsia="黑体" w:cs="黑体"/>
          <w:color w:val="000000" w:themeColor="text1"/>
          <w:szCs w:val="24"/>
          <w:u w:val="none"/>
          <w14:textFill>
            <w14:solidFill>
              <w14:schemeClr w14:val="tx1"/>
            </w14:solidFill>
          </w14:textFill>
        </w:rPr>
        <w:fldChar w:fldCharType="end"/>
      </w:r>
    </w:p>
    <w:p>
      <w:pPr>
        <w:pStyle w:val="9"/>
        <w:tabs>
          <w:tab w:val="right" w:leader="dot" w:pos="9288"/>
        </w:tabs>
        <w:adjustRightInd w:val="0"/>
        <w:snapToGrid w:val="0"/>
        <w:spacing w:line="360" w:lineRule="auto"/>
        <w:rPr>
          <w:color w:val="000000" w:themeColor="text1"/>
          <w:u w:val="none"/>
          <w14:textFill>
            <w14:solidFill>
              <w14:schemeClr w14:val="tx1"/>
            </w14:solidFill>
          </w14:textFill>
        </w:rPr>
        <w:sectPr>
          <w:footerReference r:id="rId4" w:type="default"/>
          <w:pgSz w:w="11906" w:h="16838"/>
          <w:pgMar w:top="1440" w:right="1247" w:bottom="1440" w:left="1361" w:header="851" w:footer="992" w:gutter="0"/>
          <w:pgNumType w:fmt="decimalFullWidth" w:start="1"/>
          <w:cols w:space="720" w:num="1"/>
          <w:docGrid w:type="lines" w:linePitch="326" w:charSpace="0"/>
        </w:sectPr>
      </w:pPr>
      <w:r>
        <w:rPr>
          <w:rFonts w:ascii="黑体" w:hAnsi="黑体" w:eastAsia="黑体" w:cs="黑体"/>
          <w:color w:val="000000" w:themeColor="text1"/>
          <w:sz w:val="24"/>
          <w:szCs w:val="24"/>
          <w:u w:val="none"/>
          <w14:textFill>
            <w14:solidFill>
              <w14:schemeClr w14:val="tx1"/>
            </w14:solidFill>
          </w14:textFill>
        </w:rPr>
        <w:fldChar w:fldCharType="end"/>
      </w:r>
      <w:bookmarkStart w:id="0" w:name="_Toc440348776"/>
    </w:p>
    <w:p>
      <w:pPr>
        <w:pStyle w:val="11"/>
        <w:adjustRightInd w:val="0"/>
        <w:snapToGrid w:val="0"/>
        <w:spacing w:before="326" w:beforeLines="100" w:after="326" w:afterLines="100" w:line="400" w:lineRule="atLeast"/>
        <w:outlineLvl w:val="9"/>
        <w:rPr>
          <w:color w:val="000000" w:themeColor="text1"/>
          <w:u w:val="none"/>
          <w14:textFill>
            <w14:solidFill>
              <w14:schemeClr w14:val="tx1"/>
            </w14:solidFill>
          </w14:textFill>
        </w:rPr>
      </w:pPr>
      <w:bookmarkStart w:id="1" w:name="_Toc13415"/>
      <w:r>
        <w:rPr>
          <w:rFonts w:hint="eastAsia"/>
          <w:color w:val="000000" w:themeColor="text1"/>
          <w:u w:val="none"/>
          <w14:textFill>
            <w14:solidFill>
              <w14:schemeClr w14:val="tx1"/>
            </w14:solidFill>
          </w14:textFill>
        </w:rPr>
        <w:t>前言</w:t>
      </w:r>
      <w:bookmarkEnd w:id="0"/>
      <w:bookmarkEnd w:id="1"/>
    </w:p>
    <w:p>
      <w:pPr>
        <w:autoSpaceDE/>
        <w:autoSpaceDN/>
        <w:adjustRightInd/>
        <w:snapToGrid/>
        <w:spacing w:line="440" w:lineRule="exact"/>
        <w:ind w:firstLine="480" w:firstLineChars="200"/>
        <w:jc w:val="both"/>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河道是国民经济和社会发展的重要基础设施，是保障和服务民生的重要物质载体。河道和水利工程管理范围划定是依法保护水利工程的重要措施，是加强水利工程管理的一项基础性工作。</w:t>
      </w:r>
      <w:r>
        <w:rPr>
          <w:rFonts w:hint="eastAsia" w:ascii="宋体" w:hAnsi="宋体" w:cs="黑体"/>
          <w:color w:val="000000" w:themeColor="text1"/>
          <w:kern w:val="0"/>
          <w:sz w:val="24"/>
          <w:u w:val="none"/>
          <w14:textFill>
            <w14:solidFill>
              <w14:schemeClr w14:val="tx1"/>
            </w14:solidFill>
          </w14:textFill>
        </w:rPr>
        <w:t>由于历史原因，本溪市部分河道和水利工程管理范围边界不清、水土资源产权不明，由此导致一些开发建设项目、生产经营活动随意侵占河道和水利工程管理范围，违法建设、违法耕种、违法设障等现象时有发生，不仅干扰了正常的水事管理秩序，影响了水利工程安全，也破坏了河道水生态环境，导致水事矛盾纠纷多发。</w:t>
      </w:r>
      <w:r>
        <w:rPr>
          <w:rFonts w:hint="eastAsia"/>
          <w:color w:val="000000" w:themeColor="text1"/>
          <w:sz w:val="24"/>
          <w:u w:val="none"/>
          <w14:textFill>
            <w14:solidFill>
              <w14:schemeClr w14:val="tx1"/>
            </w14:solidFill>
          </w14:textFill>
        </w:rPr>
        <w:t>根据辽宁省河长制办公室辽河长办[2017]2号文《辽宁省河长制办公室关于印发辽宁省河湖管理与保护范围划定通则的通知》，</w:t>
      </w:r>
      <w:r>
        <w:rPr>
          <w:rFonts w:hint="eastAsia" w:ascii="宋体" w:hAnsi="宋体" w:cs="黑体"/>
          <w:color w:val="000000" w:themeColor="text1"/>
          <w:kern w:val="0"/>
          <w:sz w:val="24"/>
          <w:u w:val="none"/>
          <w14:textFill>
            <w14:solidFill>
              <w14:schemeClr w14:val="tx1"/>
            </w14:solidFill>
          </w14:textFill>
        </w:rPr>
        <w:t>各地应依据水利部有关河湖划界要求，结合本地实际，编制河湖划界工作实施方案。市直管的河道、水库（湖泊）及涉河水利工程由市组织编制，其余由县组织编制。省级以上管理的涉河水利工程设施，由管理单位单独编制工程划界实施方案，并纳入工程属地实施方案。</w:t>
      </w:r>
      <w:r>
        <w:rPr>
          <w:rFonts w:hint="eastAsia"/>
          <w:color w:val="000000" w:themeColor="text1"/>
          <w:sz w:val="24"/>
          <w:u w:val="none"/>
          <w14:textFill>
            <w14:solidFill>
              <w14:schemeClr w14:val="tx1"/>
            </w14:solidFill>
          </w14:textFill>
        </w:rPr>
        <w:t>明确目标任务、划定标准、操作程序、实施时间、责任分工等。实施方案由相应水行政主管部门组织合规性审核，市组织编制的实施方案报市人民政府印发。</w:t>
      </w:r>
    </w:p>
    <w:p>
      <w:pPr>
        <w:autoSpaceDE/>
        <w:autoSpaceDN/>
        <w:adjustRightInd/>
        <w:snapToGrid/>
        <w:spacing w:line="440" w:lineRule="exact"/>
        <w:ind w:firstLine="480" w:firstLineChars="200"/>
        <w:jc w:val="both"/>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本实施方案对本溪市本级的2条河道太子河和细河及其102.39km堤防，逐条进行调查。</w:t>
      </w:r>
      <w:r>
        <w:rPr>
          <w:rFonts w:hint="eastAsia" w:ascii="宋体" w:hAnsi="宋体" w:cs="黑体"/>
          <w:color w:val="000000" w:themeColor="text1"/>
          <w:kern w:val="0"/>
          <w:sz w:val="24"/>
          <w:u w:val="none"/>
          <w14:textFill>
            <w14:solidFill>
              <w14:schemeClr w14:val="tx1"/>
            </w14:solidFill>
          </w14:textFill>
        </w:rPr>
        <w:t>在前期</w:t>
      </w:r>
      <w:r>
        <w:rPr>
          <w:rFonts w:hint="eastAsia" w:ascii="宋体" w:hAnsi="宋体" w:cs="宋体"/>
          <w:color w:val="000000" w:themeColor="text1"/>
          <w:sz w:val="24"/>
          <w:u w:val="none"/>
          <w14:textFill>
            <w14:solidFill>
              <w14:schemeClr w14:val="tx1"/>
            </w14:solidFill>
          </w14:textFill>
        </w:rPr>
        <w:t>完成的河道和水利工程划界确权的情况摸底调查基础上，掌握了相关河道和水利工程划界确权现状，依据相关法律、法规，明确了本轮划定管理范围河道及水利工程，落实了相关划界标准</w:t>
      </w:r>
      <w:r>
        <w:rPr>
          <w:rFonts w:hint="eastAsia"/>
          <w:color w:val="000000" w:themeColor="text1"/>
          <w:sz w:val="24"/>
          <w:u w:val="none"/>
          <w14:textFill>
            <w14:solidFill>
              <w14:schemeClr w14:val="tx1"/>
            </w14:solidFill>
          </w14:textFill>
        </w:rPr>
        <w:t>。本次划界只针对管理范围，不划定保护范围，划界</w:t>
      </w:r>
      <w:r>
        <w:rPr>
          <w:rFonts w:hint="eastAsia" w:ascii="宋体" w:hAnsi="宋体"/>
          <w:bCs/>
          <w:color w:val="000000" w:themeColor="text1"/>
          <w:sz w:val="24"/>
          <w:u w:val="none"/>
          <w14:textFill>
            <w14:solidFill>
              <w14:schemeClr w14:val="tx1"/>
            </w14:solidFill>
          </w14:textFill>
        </w:rPr>
        <w:t>管理线总长330km,总投资</w:t>
      </w:r>
      <w:r>
        <w:rPr>
          <w:rFonts w:hint="eastAsia" w:ascii="Times New Roman" w:hAnsi="Times New Roman"/>
          <w:b/>
          <w:bCs/>
          <w:color w:val="000000" w:themeColor="text1"/>
          <w:sz w:val="24"/>
          <w:u w:val="none"/>
          <w14:textFill>
            <w14:solidFill>
              <w14:schemeClr w14:val="tx1"/>
            </w14:solidFill>
          </w14:textFill>
        </w:rPr>
        <w:t>212.59</w:t>
      </w:r>
      <w:r>
        <w:rPr>
          <w:rFonts w:hint="eastAsia" w:ascii="宋体" w:hAnsi="宋体"/>
          <w:bCs/>
          <w:color w:val="000000" w:themeColor="text1"/>
          <w:sz w:val="24"/>
          <w:u w:val="none"/>
          <w14:textFill>
            <w14:solidFill>
              <w14:schemeClr w14:val="tx1"/>
            </w14:solidFill>
          </w14:textFill>
        </w:rPr>
        <w:t>万元</w:t>
      </w:r>
      <w:r>
        <w:rPr>
          <w:rFonts w:hint="eastAsia"/>
          <w:color w:val="000000" w:themeColor="text1"/>
          <w:sz w:val="24"/>
          <w:u w:val="none"/>
          <w14:textFill>
            <w14:solidFill>
              <w14:schemeClr w14:val="tx1"/>
            </w14:solidFill>
          </w14:textFill>
        </w:rPr>
        <w:t xml:space="preserve">。 </w:t>
      </w:r>
    </w:p>
    <w:p>
      <w:pPr>
        <w:tabs>
          <w:tab w:val="left" w:pos="1134"/>
        </w:tabs>
        <w:autoSpaceDE w:val="0"/>
        <w:autoSpaceDN w:val="0"/>
        <w:adjustRightInd w:val="0"/>
        <w:snapToGrid w:val="0"/>
        <w:spacing w:line="440" w:lineRule="exact"/>
        <w:ind w:firstLine="480" w:firstLineChars="200"/>
        <w:jc w:val="left"/>
        <w:rPr>
          <w:rFonts w:ascii="宋体" w:hAnsi="宋体" w:cs="黑体"/>
          <w:color w:val="000000" w:themeColor="text1"/>
          <w:kern w:val="0"/>
          <w:sz w:val="24"/>
          <w:u w:val="none"/>
          <w14:textFill>
            <w14:solidFill>
              <w14:schemeClr w14:val="tx1"/>
            </w14:solidFill>
          </w14:textFill>
        </w:rPr>
      </w:pPr>
      <w:r>
        <w:rPr>
          <w:rFonts w:hint="eastAsia"/>
          <w:color w:val="000000" w:themeColor="text1"/>
          <w:sz w:val="24"/>
          <w:u w:val="none"/>
          <w14:textFill>
            <w14:solidFill>
              <w14:schemeClr w14:val="tx1"/>
            </w14:solidFill>
          </w14:textFill>
        </w:rPr>
        <w:t>通过本轮对</w:t>
      </w:r>
      <w:r>
        <w:rPr>
          <w:rFonts w:hint="eastAsia" w:ascii="Times New Roman" w:hAnsi="Times New Roman"/>
          <w:color w:val="000000" w:themeColor="text1"/>
          <w:sz w:val="24"/>
          <w:u w:val="none"/>
          <w14:textFill>
            <w14:solidFill>
              <w14:schemeClr w14:val="tx1"/>
            </w14:solidFill>
          </w14:textFill>
        </w:rPr>
        <w:t>本溪市本级</w:t>
      </w:r>
      <w:r>
        <w:rPr>
          <w:rFonts w:hint="eastAsia"/>
          <w:color w:val="000000" w:themeColor="text1"/>
          <w:sz w:val="24"/>
          <w:u w:val="none"/>
          <w14:textFill>
            <w14:solidFill>
              <w14:schemeClr w14:val="tx1"/>
            </w14:solidFill>
          </w14:textFill>
        </w:rPr>
        <w:t>河道和水利工程管理范围的划定，进一步明确了相关工程管理范围，有利于依法行政、依法管好水利工程，有利于水利工程的安全管理和运行，有利于增强水资源支撑保障能力；同时，有利于增强公民知法、守法意识，促进公民对水利管理工作的理解和支持。</w:t>
      </w:r>
    </w:p>
    <w:p>
      <w:pPr>
        <w:tabs>
          <w:tab w:val="left" w:pos="1134"/>
        </w:tabs>
        <w:spacing w:line="440" w:lineRule="exact"/>
        <w:ind w:firstLine="564" w:firstLineChars="235"/>
        <w:jc w:val="center"/>
        <w:rPr>
          <w:color w:val="000000" w:themeColor="text1"/>
          <w:sz w:val="24"/>
          <w:u w:val="none"/>
          <w14:textFill>
            <w14:solidFill>
              <w14:schemeClr w14:val="tx1"/>
            </w14:solidFill>
          </w14:textFill>
        </w:rPr>
      </w:pPr>
    </w:p>
    <w:p>
      <w:pPr>
        <w:autoSpaceDE w:val="0"/>
        <w:autoSpaceDN w:val="0"/>
        <w:adjustRightInd w:val="0"/>
        <w:snapToGrid w:val="0"/>
        <w:spacing w:line="440" w:lineRule="exact"/>
        <w:jc w:val="center"/>
        <w:rPr>
          <w:color w:val="000000" w:themeColor="text1"/>
          <w:sz w:val="24"/>
          <w:u w:val="none"/>
          <w14:textFill>
            <w14:solidFill>
              <w14:schemeClr w14:val="tx1"/>
            </w14:solidFill>
          </w14:textFill>
        </w:rPr>
        <w:sectPr>
          <w:footerReference r:id="rId5" w:type="default"/>
          <w:pgSz w:w="11906" w:h="16838"/>
          <w:pgMar w:top="1440" w:right="1247" w:bottom="1440" w:left="1361" w:header="851" w:footer="992" w:gutter="0"/>
          <w:pgNumType w:fmt="decimalFullWidth" w:start="1"/>
          <w:cols w:space="720" w:num="1"/>
          <w:docGrid w:type="lines" w:linePitch="326" w:charSpace="0"/>
        </w:sectPr>
      </w:pPr>
    </w:p>
    <w:p>
      <w:pPr>
        <w:pStyle w:val="2"/>
        <w:numPr>
          <w:ilvl w:val="0"/>
          <w:numId w:val="0"/>
        </w:numPr>
        <w:spacing w:before="326" w:after="326" w:line="440" w:lineRule="exact"/>
        <w:ind w:left="601" w:firstLine="420"/>
        <w:rPr>
          <w:color w:val="000000" w:themeColor="text1"/>
          <w:szCs w:val="30"/>
          <w:u w:val="none"/>
          <w14:textFill>
            <w14:solidFill>
              <w14:schemeClr w14:val="tx1"/>
            </w14:solidFill>
          </w14:textFill>
        </w:rPr>
      </w:pPr>
      <w:bookmarkStart w:id="2" w:name="_Toc22048"/>
      <w:bookmarkStart w:id="3" w:name="_Toc440348777"/>
      <w:r>
        <w:rPr>
          <w:rFonts w:hint="eastAsia"/>
          <w:color w:val="000000" w:themeColor="text1"/>
          <w:szCs w:val="30"/>
          <w:u w:val="none"/>
          <w14:textFill>
            <w14:solidFill>
              <w14:schemeClr w14:val="tx1"/>
            </w14:solidFill>
          </w14:textFill>
        </w:rPr>
        <w:t>1 基本情况</w:t>
      </w:r>
      <w:bookmarkEnd w:id="2"/>
      <w:bookmarkEnd w:id="3"/>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4" w:name="_Toc440348778"/>
      <w:bookmarkStart w:id="5" w:name="_Toc18060"/>
      <w:r>
        <w:rPr>
          <w:rFonts w:hint="eastAsia"/>
          <w:color w:val="000000" w:themeColor="text1"/>
          <w:sz w:val="24"/>
          <w:szCs w:val="24"/>
          <w:u w:val="none"/>
          <w14:textFill>
            <w14:solidFill>
              <w14:schemeClr w14:val="tx1"/>
            </w14:solidFill>
          </w14:textFill>
        </w:rPr>
        <w:t>1.1河道和水利工程概况</w:t>
      </w:r>
      <w:bookmarkEnd w:id="4"/>
      <w:bookmarkEnd w:id="5"/>
    </w:p>
    <w:p>
      <w:pPr>
        <w:tabs>
          <w:tab w:val="left" w:pos="0"/>
        </w:tabs>
        <w:spacing w:line="440" w:lineRule="exact"/>
        <w:rPr>
          <w:color w:val="000000" w:themeColor="text1"/>
          <w:sz w:val="24"/>
          <w:u w:val="none"/>
          <w14:textFill>
            <w14:solidFill>
              <w14:schemeClr w14:val="tx1"/>
            </w14:solidFill>
          </w14:textFill>
        </w:rPr>
      </w:pPr>
      <w:bookmarkStart w:id="6" w:name="_Toc440348779"/>
      <w:r>
        <w:rPr>
          <w:rFonts w:hint="eastAsia"/>
          <w:color w:val="000000" w:themeColor="text1"/>
          <w:sz w:val="24"/>
          <w:u w:val="none"/>
          <w14:textFill>
            <w14:solidFill>
              <w14:schemeClr w14:val="tx1"/>
            </w14:solidFill>
          </w14:textFill>
        </w:rPr>
        <w:t>1.1.1自然地理环境</w:t>
      </w:r>
      <w:bookmarkEnd w:id="6"/>
    </w:p>
    <w:p>
      <w:pPr>
        <w:pStyle w:val="14"/>
        <w:numPr>
          <w:ilvl w:val="0"/>
          <w:numId w:val="2"/>
        </w:numPr>
        <w:adjustRightInd w:val="0"/>
        <w:snapToGrid w:val="0"/>
        <w:spacing w:line="440" w:lineRule="exact"/>
        <w:ind w:left="0" w:firstLine="480"/>
        <w:jc w:val="left"/>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地理位置</w:t>
      </w:r>
    </w:p>
    <w:p>
      <w:pPr>
        <w:spacing w:line="40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本溪市位于辽宁省东南部，东经123°34′~ 125°46′，北纬  40°49′~ 41°35′之间。东与吉林省通化市为邻，西与辽阳市接壤，南临丹东市，北靠沈阳市，是沈丹铁路、沈丹高速公路的重要枢纽。</w:t>
      </w:r>
    </w:p>
    <w:p>
      <w:pPr>
        <w:pStyle w:val="14"/>
        <w:numPr>
          <w:ilvl w:val="0"/>
          <w:numId w:val="2"/>
        </w:numPr>
        <w:adjustRightInd w:val="0"/>
        <w:snapToGrid w:val="0"/>
        <w:spacing w:line="400" w:lineRule="exact"/>
        <w:ind w:left="0" w:firstLine="480"/>
        <w:jc w:val="left"/>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地形地貌</w:t>
      </w:r>
    </w:p>
    <w:p>
      <w:pPr>
        <w:spacing w:line="40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总面积8411.9平方公里。境内重峦叠嶂，连绵起伏，山多地少，山地面积占80%，耕地面积8.7%，水面和其他用地占11.3%，故有“八山一水一分田”之说。综观本溪地势，东部、中部较高，南部较低，海拔高度平均为350米左右。桓仁满族自治县境内的老秃顶山主峰为全境的最高处，海拔为1367.8米。太子河与细河汇合处为全境最低处，海拔为85米左右。境内东西长184公里，南北宽87公里，在版图上呈哑铃状。</w:t>
      </w:r>
    </w:p>
    <w:p>
      <w:pPr>
        <w:spacing w:line="40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本溪市城区位于境内的西部，地处太子河上游河谷盆地内，地势由东北向西南倾斜，周围群山环绕，中心区楼群鳞次栉比，街道整洁，是一座“城依山建，山在城中”的美丽城市。</w:t>
      </w:r>
    </w:p>
    <w:p>
      <w:pPr>
        <w:pStyle w:val="14"/>
        <w:numPr>
          <w:ilvl w:val="0"/>
          <w:numId w:val="2"/>
        </w:numPr>
        <w:adjustRightInd w:val="0"/>
        <w:snapToGrid w:val="0"/>
        <w:spacing w:line="400" w:lineRule="exact"/>
        <w:ind w:left="0" w:firstLine="480"/>
        <w:jc w:val="left"/>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气候特征</w:t>
      </w:r>
    </w:p>
    <w:p>
      <w:pPr>
        <w:spacing w:line="40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1）气温。本区域属温带季风气候，冬季盛行西北季风，夏季盛行东南季风。温度变化较大，四季冷暖干湿分明。据1961-2000年本溪气象站资料统计，多年平均气温7.8℃，多年月平均最高气温24.0℃（7月），多年月平均最低气温-11.9℃，历年最高气温达37.3℃，最低为-37.9℃。</w:t>
      </w:r>
    </w:p>
    <w:p>
      <w:pPr>
        <w:spacing w:line="40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2）降水。本流域多年平均年降水量为786.5mm，降水的年内分配极不均匀，多集中在6～9月，占年降水量的69.98%，其中7、8月份占48.04%，且集中于几场大暴雨之中。本流域历年最大降水1179.2mm，最小518.4mm。</w:t>
      </w:r>
    </w:p>
    <w:p>
      <w:pPr>
        <w:spacing w:line="40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3）蒸发。本流域多年平均蒸发量1631.4mm，多年月平均最大蒸发量272.1mm（5月），最小27.6mm（1月）。</w:t>
      </w:r>
    </w:p>
    <w:p>
      <w:pPr>
        <w:spacing w:line="40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4）冻土。由于冬季气候寒冷，一般10月末开始封冻，至次年3月末或4月初解冻。据实测资料，本溪市区最大冻土深1.49m。</w:t>
      </w:r>
    </w:p>
    <w:p>
      <w:pPr>
        <w:spacing w:line="40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5）相对湿度。本流域年平均相对湿度为64%，月平均相对湿度8月最大为77%，4月最小为51%。</w:t>
      </w:r>
    </w:p>
    <w:p>
      <w:pPr>
        <w:spacing w:line="400" w:lineRule="exact"/>
        <w:ind w:firstLine="480" w:firstLineChars="200"/>
        <w:jc w:val="left"/>
        <w:rPr>
          <w:color w:val="000000" w:themeColor="text1"/>
          <w:sz w:val="24"/>
          <w:u w:val="none"/>
          <w14:textFill>
            <w14:solidFill>
              <w14:schemeClr w14:val="tx1"/>
            </w14:solidFill>
          </w14:textFill>
        </w:rPr>
      </w:pPr>
      <w:r>
        <w:rPr>
          <w:rFonts w:hint="eastAsia" w:ascii="Times New Roman" w:hAnsi="Times New Roman"/>
          <w:color w:val="000000" w:themeColor="text1"/>
          <w:sz w:val="24"/>
          <w:u w:val="none"/>
          <w14:textFill>
            <w14:solidFill>
              <w14:schemeClr w14:val="tx1"/>
            </w14:solidFill>
          </w14:textFill>
        </w:rPr>
        <w:t>6）风。本流域多年平均风速2.7m/s，最大风速21m/s，全年最多风向为东风。根据1961～1985年本流域逐月风速统计，历年汛期（6-9月）最大风速平均值为11.7 m/s。</w:t>
      </w:r>
    </w:p>
    <w:p>
      <w:pPr>
        <w:ind w:firstLine="480" w:firstLineChars="200"/>
        <w:jc w:val="center"/>
        <w:rPr>
          <w:color w:val="000000" w:themeColor="text1"/>
          <w:sz w:val="24"/>
          <w:u w:val="none"/>
          <w14:textFill>
            <w14:solidFill>
              <w14:schemeClr w14:val="tx1"/>
            </w14:solidFill>
          </w14:textFill>
        </w:rPr>
      </w:pPr>
    </w:p>
    <w:p>
      <w:pPr>
        <w:ind w:firstLine="480" w:firstLineChars="200"/>
        <w:jc w:val="center"/>
        <w:rPr>
          <w:color w:val="000000" w:themeColor="text1"/>
          <w:sz w:val="24"/>
          <w:u w:val="none"/>
          <w14:textFill>
            <w14:solidFill>
              <w14:schemeClr w14:val="tx1"/>
            </w14:solidFill>
          </w14:textFill>
        </w:rPr>
        <w:sectPr>
          <w:footerReference r:id="rId6" w:type="default"/>
          <w:pgSz w:w="11906" w:h="16838"/>
          <w:pgMar w:top="1440" w:right="1247" w:bottom="1440" w:left="1361" w:header="851" w:footer="992" w:gutter="0"/>
          <w:pgNumType w:fmt="decimalFullWidth" w:start="1"/>
          <w:cols w:space="720" w:num="1"/>
          <w:docGrid w:type="lines" w:linePitch="326" w:charSpace="0"/>
        </w:sectPr>
      </w:pPr>
    </w:p>
    <w:p>
      <w:pPr>
        <w:ind w:firstLine="420" w:firstLineChars="200"/>
        <w:jc w:val="center"/>
        <w:rPr>
          <w:color w:val="000000" w:themeColor="text1"/>
          <w:sz w:val="24"/>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8857615" cy="4521835"/>
            <wp:effectExtent l="0" t="0" r="63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8857615" cy="4521835"/>
                    </a:xfrm>
                    <a:prstGeom prst="rect">
                      <a:avLst/>
                    </a:prstGeom>
                    <a:noFill/>
                    <a:ln>
                      <a:noFill/>
                    </a:ln>
                  </pic:spPr>
                </pic:pic>
              </a:graphicData>
            </a:graphic>
          </wp:inline>
        </w:drawing>
      </w:r>
    </w:p>
    <w:p>
      <w:pPr>
        <w:ind w:firstLine="480" w:firstLineChars="200"/>
        <w:jc w:val="center"/>
        <w:rPr>
          <w:color w:val="000000" w:themeColor="text1"/>
          <w:sz w:val="24"/>
          <w:u w:val="none"/>
          <w14:textFill>
            <w14:solidFill>
              <w14:schemeClr w14:val="tx1"/>
            </w14:solidFill>
          </w14:textFill>
        </w:rPr>
      </w:pPr>
    </w:p>
    <w:p>
      <w:pPr>
        <w:ind w:firstLine="480" w:firstLineChars="200"/>
        <w:jc w:val="center"/>
        <w:rPr>
          <w:color w:val="000000" w:themeColor="text1"/>
          <w:sz w:val="24"/>
          <w:u w:val="none"/>
          <w14:textFill>
            <w14:solidFill>
              <w14:schemeClr w14:val="tx1"/>
            </w14:solidFill>
          </w14:textFill>
        </w:rPr>
      </w:pPr>
    </w:p>
    <w:p>
      <w:pPr>
        <w:ind w:firstLine="480" w:firstLineChars="200"/>
        <w:jc w:val="center"/>
        <w:rPr>
          <w:color w:val="000000" w:themeColor="text1"/>
          <w:sz w:val="24"/>
          <w:u w:val="none"/>
          <w14:textFill>
            <w14:solidFill>
              <w14:schemeClr w14:val="tx1"/>
            </w14:solidFill>
          </w14:textFill>
        </w:rPr>
        <w:sectPr>
          <w:footerReference r:id="rId7" w:type="default"/>
          <w:pgSz w:w="16838" w:h="11906" w:orient="landscape"/>
          <w:pgMar w:top="1361" w:right="1440" w:bottom="1247" w:left="1440" w:header="851" w:footer="992" w:gutter="0"/>
          <w:pgNumType w:fmt="decimalFullWidth"/>
          <w:cols w:space="720" w:num="1"/>
          <w:docGrid w:type="lines" w:linePitch="332" w:charSpace="0"/>
        </w:sectPr>
      </w:pPr>
      <w:r>
        <w:rPr>
          <w:rFonts w:hint="eastAsia"/>
          <w:color w:val="000000" w:themeColor="text1"/>
          <w:sz w:val="24"/>
          <w:u w:val="none"/>
          <w14:textFill>
            <w14:solidFill>
              <w14:schemeClr w14:val="tx1"/>
            </w14:solidFill>
          </w14:textFill>
        </w:rPr>
        <w:t>图1-1      本溪市行政区域图</w:t>
      </w:r>
    </w:p>
    <w:p>
      <w:pPr>
        <w:tabs>
          <w:tab w:val="left" w:pos="0"/>
        </w:tabs>
        <w:spacing w:before="166" w:after="166"/>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1.1.2</w:t>
      </w:r>
      <w:bookmarkStart w:id="7" w:name="_Toc440348780"/>
      <w:r>
        <w:rPr>
          <w:rFonts w:hint="eastAsia"/>
          <w:color w:val="000000" w:themeColor="text1"/>
          <w:sz w:val="24"/>
          <w:u w:val="none"/>
          <w14:textFill>
            <w14:solidFill>
              <w14:schemeClr w14:val="tx1"/>
            </w14:solidFill>
          </w14:textFill>
        </w:rPr>
        <w:t>水系概况</w:t>
      </w:r>
      <w:bookmarkEnd w:id="7"/>
    </w:p>
    <w:p>
      <w:pPr>
        <w:spacing w:line="50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本溪地区河流密布，有大小河流近200条，其中流域面积大于100平方公里的有19条。这些河流分属于太子河、浑江和草河三大水系。</w:t>
      </w:r>
    </w:p>
    <w:p>
      <w:pPr>
        <w:spacing w:line="440" w:lineRule="exact"/>
        <w:ind w:firstLine="480" w:firstLineChars="200"/>
        <w:jc w:val="left"/>
        <w:rPr>
          <w:color w:val="000000" w:themeColor="text1"/>
          <w:sz w:val="24"/>
          <w:u w:val="none"/>
          <w14:textFill>
            <w14:solidFill>
              <w14:schemeClr w14:val="tx1"/>
            </w14:solidFill>
          </w14:textFill>
        </w:rPr>
      </w:pPr>
      <w:r>
        <w:rPr>
          <w:color w:val="000000" w:themeColor="text1"/>
          <w:sz w:val="24"/>
          <w:u w:val="none"/>
          <w14:textFill>
            <w14:solidFill>
              <w14:schemeClr w14:val="tx1"/>
            </w14:solidFill>
          </w14:textFill>
        </w:rPr>
        <w:t>太子河发源于辽宁省新宾县南部长白山余脉龙岗山与千山间的老秃顶红石砬子山。流域呈东西向，地理位置为东经122°26′～124°53′，北纬40°29′～41°39′，东邻靉河及浑江，南接大洋河，西北邻浑河。太子河流经本溪、鞍山、辽阳三市，至三岔河与浑河汇合后经大辽河入海，左右岸共有21条支流汇入太子河干流。太子河本溪上游建有观音阁水利枢纽，总库容为21.68亿m</w:t>
      </w:r>
      <w:r>
        <w:rPr>
          <w:color w:val="000000" w:themeColor="text1"/>
          <w:sz w:val="24"/>
          <w:u w:val="none"/>
          <w:vertAlign w:val="superscript"/>
          <w14:textFill>
            <w14:solidFill>
              <w14:schemeClr w14:val="tx1"/>
            </w14:solidFill>
          </w14:textFill>
        </w:rPr>
        <w:t>3</w:t>
      </w:r>
      <w:r>
        <w:rPr>
          <w:color w:val="000000" w:themeColor="text1"/>
          <w:sz w:val="24"/>
          <w:u w:val="none"/>
          <w14:textFill>
            <w14:solidFill>
              <w14:schemeClr w14:val="tx1"/>
            </w14:solidFill>
          </w14:textFill>
        </w:rPr>
        <w:t>，本溪市下游和支流汤河上分别有葠窝、汤河两座大型水库工程，库容分别是：7.93亿m</w:t>
      </w:r>
      <w:r>
        <w:rPr>
          <w:color w:val="000000" w:themeColor="text1"/>
          <w:sz w:val="24"/>
          <w:u w:val="none"/>
          <w:vertAlign w:val="superscript"/>
          <w14:textFill>
            <w14:solidFill>
              <w14:schemeClr w14:val="tx1"/>
            </w14:solidFill>
          </w14:textFill>
        </w:rPr>
        <w:t>3</w:t>
      </w:r>
      <w:r>
        <w:rPr>
          <w:color w:val="000000" w:themeColor="text1"/>
          <w:sz w:val="24"/>
          <w:u w:val="none"/>
          <w14:textFill>
            <w14:solidFill>
              <w14:schemeClr w14:val="tx1"/>
            </w14:solidFill>
          </w14:textFill>
        </w:rPr>
        <w:t>，7.23亿m</w:t>
      </w:r>
      <w:r>
        <w:rPr>
          <w:color w:val="000000" w:themeColor="text1"/>
          <w:sz w:val="24"/>
          <w:u w:val="none"/>
          <w:vertAlign w:val="superscript"/>
          <w14:textFill>
            <w14:solidFill>
              <w14:schemeClr w14:val="tx1"/>
            </w14:solidFill>
          </w14:textFill>
        </w:rPr>
        <w:t>3</w:t>
      </w:r>
      <w:r>
        <w:rPr>
          <w:color w:val="000000" w:themeColor="text1"/>
          <w:sz w:val="24"/>
          <w:u w:val="none"/>
          <w14:textFill>
            <w14:solidFill>
              <w14:schemeClr w14:val="tx1"/>
            </w14:solidFill>
          </w14:textFill>
        </w:rPr>
        <w:t>。</w:t>
      </w:r>
    </w:p>
    <w:p>
      <w:pPr>
        <w:spacing w:line="440" w:lineRule="exact"/>
        <w:ind w:firstLine="480" w:firstLineChars="200"/>
        <w:jc w:val="left"/>
        <w:rPr>
          <w:color w:val="000000" w:themeColor="text1"/>
          <w:sz w:val="24"/>
          <w:u w:val="none"/>
          <w14:textFill>
            <w14:solidFill>
              <w14:schemeClr w14:val="tx1"/>
            </w14:solidFill>
          </w14:textFill>
        </w:rPr>
      </w:pPr>
      <w:r>
        <w:rPr>
          <w:color w:val="000000" w:themeColor="text1"/>
          <w:sz w:val="24"/>
          <w:u w:val="none"/>
          <w14:textFill>
            <w14:solidFill>
              <w14:schemeClr w14:val="tx1"/>
            </w14:solidFill>
          </w14:textFill>
        </w:rPr>
        <w:t>太子河全长413km，本溪彩屯桥～辽阳铁路桥间，河床比降约0.87～1.22‰，辽阳铁路桥～三岔河铁路桥比降变缓，约为0.15～0.37‰。总流域面积13880km</w:t>
      </w:r>
      <w:r>
        <w:rPr>
          <w:color w:val="000000" w:themeColor="text1"/>
          <w:sz w:val="24"/>
          <w:u w:val="none"/>
          <w:vertAlign w:val="superscript"/>
          <w14:textFill>
            <w14:solidFill>
              <w14:schemeClr w14:val="tx1"/>
            </w14:solidFill>
          </w14:textFill>
        </w:rPr>
        <w:t>2</w:t>
      </w:r>
      <w:r>
        <w:rPr>
          <w:color w:val="000000" w:themeColor="text1"/>
          <w:sz w:val="24"/>
          <w:u w:val="none"/>
          <w14:textFill>
            <w14:solidFill>
              <w14:schemeClr w14:val="tx1"/>
            </w14:solidFill>
          </w14:textFill>
        </w:rPr>
        <w:t>，其中山地占66％，丘陵占4％，平原区占30％。辽阳以上多属石质山区，植被覆盖率达70％左右，林地覆盖率达50％，山丘区耕地中有部分陡地及人参园地，每遇暴雨，常造成水土流失，辽阳站多年侵蚀模数为196t/km</w:t>
      </w:r>
      <w:r>
        <w:rPr>
          <w:color w:val="000000" w:themeColor="text1"/>
          <w:sz w:val="24"/>
          <w:u w:val="none"/>
          <w:vertAlign w:val="superscript"/>
          <w14:textFill>
            <w14:solidFill>
              <w14:schemeClr w14:val="tx1"/>
            </w14:solidFill>
          </w14:textFill>
        </w:rPr>
        <w:t>2</w:t>
      </w:r>
      <w:r>
        <w:rPr>
          <w:color w:val="000000" w:themeColor="text1"/>
          <w:sz w:val="24"/>
          <w:u w:val="none"/>
          <w14:textFill>
            <w14:solidFill>
              <w14:schemeClr w14:val="tx1"/>
            </w14:solidFill>
          </w14:textFill>
        </w:rPr>
        <w:t>/年。</w:t>
      </w:r>
    </w:p>
    <w:p>
      <w:pPr>
        <w:spacing w:line="440" w:lineRule="exact"/>
        <w:ind w:firstLine="480" w:firstLineChars="200"/>
        <w:jc w:val="left"/>
        <w:rPr>
          <w:rFonts w:ascii="Calibri" w:hAnsi="Calibri"/>
          <w:color w:val="000000" w:themeColor="text1"/>
          <w:kern w:val="2"/>
          <w:sz w:val="24"/>
          <w:szCs w:val="24"/>
          <w:u w:val="none"/>
          <w14:textFill>
            <w14:solidFill>
              <w14:schemeClr w14:val="tx1"/>
            </w14:solidFill>
          </w14:textFill>
        </w:rPr>
      </w:pPr>
      <w:r>
        <w:rPr>
          <w:rFonts w:hint="eastAsia" w:ascii="Calibri" w:hAnsi="Calibri"/>
          <w:color w:val="000000" w:themeColor="text1"/>
          <w:sz w:val="24"/>
          <w:u w:val="none"/>
          <w14:textFill>
            <w14:solidFill>
              <w14:schemeClr w14:val="tx1"/>
            </w14:solidFill>
          </w14:textFill>
        </w:rPr>
        <w:t>细河属太子河流域内一较大支流，发源地有两支：一支位于丹东凤城市白云山南麓，一支位于本溪县祁家堡子上游的东山，两条支流于本溪县连山关镇交汇形成细河。细河流域东邻小汤河，南靠草河，西邻辽阳境内的蓝河。细河由本溪县南部连山关镇中河村入本溪境内，由南向北流经本溪县祁家堡子、连山关镇和南芬区全境，经过平山区桥头镇后折向西，至平山区北台街道办事处毛家崴子村出境，最后在辽阳县境内从左岸汇入太子河。</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ascii="Calibri" w:hAnsi="Calibri"/>
          <w:color w:val="000000" w:themeColor="text1"/>
          <w:kern w:val="2"/>
          <w:sz w:val="24"/>
          <w:szCs w:val="24"/>
          <w:u w:val="none"/>
          <w14:textFill>
            <w14:solidFill>
              <w14:schemeClr w14:val="tx1"/>
            </w14:solidFill>
          </w14:textFill>
        </w:rPr>
        <w:t>细河全</w:t>
      </w:r>
      <w:r>
        <w:rPr>
          <w:rFonts w:ascii="Calibri" w:hAnsi="Calibri"/>
          <w:color w:val="000000" w:themeColor="text1"/>
          <w:kern w:val="2"/>
          <w:sz w:val="24"/>
          <w:szCs w:val="24"/>
          <w:u w:val="none"/>
          <w14:textFill>
            <w14:solidFill>
              <w14:schemeClr w14:val="tx1"/>
            </w14:solidFill>
          </w14:textFill>
        </w:rPr>
        <w:t>长119.48km，</w:t>
      </w:r>
      <w:r>
        <w:rPr>
          <w:rFonts w:hint="eastAsia" w:ascii="Calibri" w:hAnsi="Calibri"/>
          <w:color w:val="000000" w:themeColor="text1"/>
          <w:kern w:val="2"/>
          <w:sz w:val="24"/>
          <w:szCs w:val="24"/>
          <w:u w:val="none"/>
          <w14:textFill>
            <w14:solidFill>
              <w14:schemeClr w14:val="tx1"/>
            </w14:solidFill>
          </w14:textFill>
        </w:rPr>
        <w:t>流域面积</w:t>
      </w:r>
      <w:r>
        <w:rPr>
          <w:rFonts w:ascii="Calibri" w:hAnsi="Calibri"/>
          <w:color w:val="000000" w:themeColor="text1"/>
          <w:kern w:val="2"/>
          <w:sz w:val="24"/>
          <w:szCs w:val="24"/>
          <w:u w:val="none"/>
          <w14:textFill>
            <w14:solidFill>
              <w14:schemeClr w14:val="tx1"/>
            </w14:solidFill>
          </w14:textFill>
        </w:rPr>
        <w:t>1126.3km</w:t>
      </w:r>
      <w:r>
        <w:rPr>
          <w:rFonts w:ascii="Calibri" w:hAnsi="Calibri"/>
          <w:color w:val="000000" w:themeColor="text1"/>
          <w:kern w:val="2"/>
          <w:sz w:val="24"/>
          <w:szCs w:val="24"/>
          <w:u w:val="none"/>
          <w:vertAlign w:val="superscript"/>
          <w14:textFill>
            <w14:solidFill>
              <w14:schemeClr w14:val="tx1"/>
            </w14:solidFill>
          </w14:textFill>
        </w:rPr>
        <w:t>2</w:t>
      </w:r>
      <w:r>
        <w:rPr>
          <w:rFonts w:ascii="Calibri" w:hAnsi="Calibri"/>
          <w:color w:val="000000" w:themeColor="text1"/>
          <w:kern w:val="2"/>
          <w:sz w:val="24"/>
          <w:szCs w:val="24"/>
          <w:u w:val="none"/>
          <w14:textFill>
            <w14:solidFill>
              <w14:schemeClr w14:val="tx1"/>
            </w14:solidFill>
          </w14:textFill>
        </w:rPr>
        <w:t>，河道平均</w:t>
      </w:r>
      <w:r>
        <w:rPr>
          <w:rFonts w:hint="eastAsia" w:ascii="Calibri" w:hAnsi="Calibri"/>
          <w:color w:val="000000" w:themeColor="text1"/>
          <w:kern w:val="2"/>
          <w:sz w:val="24"/>
          <w:szCs w:val="24"/>
          <w:u w:val="none"/>
          <w14:textFill>
            <w14:solidFill>
              <w14:schemeClr w14:val="tx1"/>
            </w14:solidFill>
          </w14:textFill>
        </w:rPr>
        <w:t>比降</w:t>
      </w:r>
      <w:r>
        <w:rPr>
          <w:rFonts w:ascii="Calibri" w:hAnsi="Calibri"/>
          <w:color w:val="000000" w:themeColor="text1"/>
          <w:kern w:val="2"/>
          <w:sz w:val="24"/>
          <w:szCs w:val="24"/>
          <w:u w:val="none"/>
          <w14:textFill>
            <w14:solidFill>
              <w14:schemeClr w14:val="tx1"/>
            </w14:solidFill>
          </w14:textFill>
        </w:rPr>
        <w:t xml:space="preserve"> 2.31‰；</w:t>
      </w:r>
      <w:r>
        <w:rPr>
          <w:rFonts w:hint="eastAsia" w:ascii="Calibri" w:hAnsi="Calibri"/>
          <w:color w:val="000000" w:themeColor="text1"/>
          <w:sz w:val="24"/>
          <w:u w:val="none"/>
          <w14:textFill>
            <w14:solidFill>
              <w14:schemeClr w14:val="tx1"/>
            </w14:solidFill>
          </w14:textFill>
        </w:rPr>
        <w:t>其中本溪境内河长</w:t>
      </w:r>
      <w:r>
        <w:rPr>
          <w:rFonts w:ascii="Calibri" w:hAnsi="Calibri"/>
          <w:color w:val="000000" w:themeColor="text1"/>
          <w:sz w:val="24"/>
          <w:u w:val="none"/>
          <w14:textFill>
            <w14:solidFill>
              <w14:schemeClr w14:val="tx1"/>
            </w14:solidFill>
          </w14:textFill>
        </w:rPr>
        <w:t>85km，流域面积1044 km</w:t>
      </w:r>
      <w:r>
        <w:rPr>
          <w:rFonts w:ascii="Calibri" w:hAnsi="Calibri"/>
          <w:color w:val="000000" w:themeColor="text1"/>
          <w:sz w:val="24"/>
          <w:u w:val="none"/>
          <w:vertAlign w:val="superscript"/>
          <w14:textFill>
            <w14:solidFill>
              <w14:schemeClr w14:val="tx1"/>
            </w14:solidFill>
          </w14:textFill>
        </w:rPr>
        <w:t>2</w:t>
      </w:r>
      <w:r>
        <w:rPr>
          <w:rFonts w:hint="eastAsia" w:ascii="Calibri" w:hAnsi="Calibri"/>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1.1.3现状水利工程情况</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本溪市本级河道管理河道和水利工程基本情况详见下表1-1~表1-3：</w:t>
      </w: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 w:val="24"/>
          <w:u w:val="none"/>
          <w14:textFill>
            <w14:solidFill>
              <w14:schemeClr w14:val="tx1"/>
            </w14:solidFill>
          </w14:textFill>
        </w:rPr>
      </w:pPr>
      <w:r>
        <w:rPr>
          <w:rFonts w:hint="eastAsia"/>
          <w:color w:val="000000" w:themeColor="text1"/>
          <w:szCs w:val="21"/>
          <w:u w:val="none"/>
          <w14:textFill>
            <w14:solidFill>
              <w14:schemeClr w14:val="tx1"/>
            </w14:solidFill>
          </w14:textFill>
        </w:rPr>
        <w:t>表1-1</w:t>
      </w:r>
      <w:r>
        <w:rPr>
          <w:rFonts w:hint="eastAsia"/>
          <w:color w:val="000000" w:themeColor="text1"/>
          <w:sz w:val="24"/>
          <w:u w:val="none"/>
          <w14:textFill>
            <w14:solidFill>
              <w14:schemeClr w14:val="tx1"/>
            </w14:solidFill>
          </w14:textFill>
        </w:rPr>
        <w:t xml:space="preserve">                   本溪市本级太子河水利工程基本情况</w:t>
      </w:r>
    </w:p>
    <w:tbl>
      <w:tblPr>
        <w:tblStyle w:val="12"/>
        <w:tblW w:w="0" w:type="auto"/>
        <w:jc w:val="center"/>
        <w:tblLayout w:type="fixed"/>
        <w:tblCellMar>
          <w:top w:w="15" w:type="dxa"/>
          <w:left w:w="15" w:type="dxa"/>
          <w:bottom w:w="15" w:type="dxa"/>
          <w:right w:w="15" w:type="dxa"/>
        </w:tblCellMar>
      </w:tblPr>
      <w:tblGrid>
        <w:gridCol w:w="1085"/>
        <w:gridCol w:w="802"/>
        <w:gridCol w:w="1645"/>
        <w:gridCol w:w="2440"/>
        <w:gridCol w:w="1408"/>
        <w:gridCol w:w="925"/>
      </w:tblGrid>
      <w:tr>
        <w:tblPrEx>
          <w:tblCellMar>
            <w:top w:w="15" w:type="dxa"/>
            <w:left w:w="15" w:type="dxa"/>
            <w:bottom w:w="15" w:type="dxa"/>
            <w:right w:w="15" w:type="dxa"/>
          </w:tblCellMar>
        </w:tblPrEx>
        <w:trPr>
          <w:trHeight w:val="510" w:hRule="atLeast"/>
          <w:jc w:val="center"/>
        </w:trPr>
        <w:tc>
          <w:tcPr>
            <w:tcW w:w="1085" w:type="dxa"/>
            <w:tcBorders>
              <w:top w:val="double" w:color="auto" w:sz="4" w:space="0"/>
              <w:left w:val="doub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所属河流</w:t>
            </w:r>
          </w:p>
        </w:tc>
        <w:tc>
          <w:tcPr>
            <w:tcW w:w="802" w:type="dxa"/>
            <w:tcBorders>
              <w:top w:val="doub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岸别</w:t>
            </w:r>
          </w:p>
        </w:tc>
        <w:tc>
          <w:tcPr>
            <w:tcW w:w="1645" w:type="dxa"/>
            <w:tcBorders>
              <w:top w:val="doub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设计标准（年一遇）</w:t>
            </w:r>
          </w:p>
        </w:tc>
        <w:tc>
          <w:tcPr>
            <w:tcW w:w="2440" w:type="dxa"/>
            <w:tcBorders>
              <w:top w:val="doub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堤防型式</w:t>
            </w:r>
          </w:p>
        </w:tc>
        <w:tc>
          <w:tcPr>
            <w:tcW w:w="1408" w:type="dxa"/>
            <w:tcBorders>
              <w:top w:val="doub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堤防长度(km)</w:t>
            </w:r>
          </w:p>
        </w:tc>
        <w:tc>
          <w:tcPr>
            <w:tcW w:w="925" w:type="dxa"/>
            <w:tcBorders>
              <w:top w:val="double" w:color="auto"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备注</w:t>
            </w:r>
          </w:p>
        </w:tc>
      </w:tr>
      <w:tr>
        <w:tblPrEx>
          <w:tblCellMar>
            <w:top w:w="15" w:type="dxa"/>
            <w:left w:w="15" w:type="dxa"/>
            <w:bottom w:w="15" w:type="dxa"/>
            <w:right w:w="15" w:type="dxa"/>
          </w:tblCellMar>
        </w:tblPrEx>
        <w:trPr>
          <w:trHeight w:val="510" w:hRule="atLeast"/>
          <w:jc w:val="center"/>
        </w:trPr>
        <w:tc>
          <w:tcPr>
            <w:tcW w:w="1085" w:type="dxa"/>
            <w:vMerge w:val="restart"/>
            <w:tcBorders>
              <w:top w:val="single" w:color="000000" w:sz="4" w:space="0"/>
              <w:left w:val="double" w:color="auto"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太子河</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50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2.76</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textAlignment w:val="center"/>
              <w:rPr>
                <w:rFonts w:ascii="宋体" w:hAnsi="宋体" w:cs="宋体"/>
                <w:color w:val="000000" w:themeColor="text1"/>
                <w:kern w:val="0"/>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2.99</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均质土堤，混凝土板护坡</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6.77</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浆砌石防洪墙</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2.53</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均质土堤，混凝土板护坡</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6.68</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左岸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9.85</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200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混凝土防洪墙</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2.92</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50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0.83</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50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浆砌石墙</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1.87</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2.45</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本溪县段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6.29</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4.77</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2.53</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100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浆砌石防洪墙</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6.76</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vMerge w:val="continue"/>
            <w:tcBorders>
              <w:left w:val="double" w:color="auto"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右岸</w:t>
            </w:r>
          </w:p>
        </w:tc>
        <w:tc>
          <w:tcPr>
            <w:tcW w:w="16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200</w:t>
            </w:r>
          </w:p>
        </w:tc>
        <w:tc>
          <w:tcPr>
            <w:tcW w:w="24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均质土堤</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10.88</w:t>
            </w:r>
          </w:p>
        </w:tc>
        <w:tc>
          <w:tcPr>
            <w:tcW w:w="925" w:type="dxa"/>
            <w:tcBorders>
              <w:top w:val="single" w:color="000000" w:sz="4" w:space="0"/>
              <w:left w:val="single" w:color="000000" w:sz="4" w:space="0"/>
              <w:bottom w:val="single" w:color="000000" w:sz="4" w:space="0"/>
              <w:right w:val="double" w:color="auto" w:sz="4" w:space="0"/>
            </w:tcBorders>
            <w:noWrap w:val="0"/>
            <w:vAlign w:val="center"/>
          </w:tcPr>
          <w:p>
            <w:pPr>
              <w:widowControl/>
              <w:jc w:val="center"/>
              <w:textAlignment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市区段</w:t>
            </w:r>
          </w:p>
        </w:tc>
      </w:tr>
      <w:tr>
        <w:tblPrEx>
          <w:tblCellMar>
            <w:top w:w="15" w:type="dxa"/>
            <w:left w:w="15" w:type="dxa"/>
            <w:bottom w:w="15" w:type="dxa"/>
            <w:right w:w="15" w:type="dxa"/>
          </w:tblCellMar>
        </w:tblPrEx>
        <w:trPr>
          <w:trHeight w:val="510" w:hRule="atLeast"/>
          <w:jc w:val="center"/>
        </w:trPr>
        <w:tc>
          <w:tcPr>
            <w:tcW w:w="1085" w:type="dxa"/>
            <w:tcBorders>
              <w:top w:val="single" w:color="000000" w:sz="4" w:space="0"/>
              <w:left w:val="double" w:color="auto" w:sz="4" w:space="0"/>
              <w:bottom w:val="double" w:color="auto" w:sz="4" w:space="0"/>
              <w:right w:val="single" w:color="000000" w:sz="4" w:space="0"/>
            </w:tcBorders>
            <w:noWrap w:val="0"/>
            <w:vAlign w:val="center"/>
          </w:tcPr>
          <w:p>
            <w:pPr>
              <w:jc w:val="center"/>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合计</w:t>
            </w:r>
          </w:p>
        </w:tc>
        <w:tc>
          <w:tcPr>
            <w:tcW w:w="7220" w:type="dxa"/>
            <w:gridSpan w:val="5"/>
            <w:tcBorders>
              <w:top w:val="single" w:color="000000" w:sz="4" w:space="0"/>
              <w:left w:val="single" w:color="000000" w:sz="4" w:space="0"/>
              <w:bottom w:val="double" w:color="auto" w:sz="4" w:space="0"/>
              <w:right w:val="double" w:color="auto" w:sz="4" w:space="0"/>
            </w:tcBorders>
            <w:noWrap w:val="0"/>
            <w:vAlign w:val="center"/>
          </w:tcPr>
          <w:p>
            <w:pPr>
              <w:widowControl/>
              <w:jc w:val="center"/>
              <w:textAlignment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堤防总长70.89km，其中左岸堤防长度31.59km，右岸堤防长度39.30km。</w:t>
            </w:r>
          </w:p>
        </w:tc>
      </w:tr>
    </w:tbl>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Cs w:val="21"/>
          <w:u w:val="none"/>
          <w14:textFill>
            <w14:solidFill>
              <w14:schemeClr w14:val="tx1"/>
            </w14:solidFill>
          </w14:textFill>
        </w:rPr>
      </w:pPr>
    </w:p>
    <w:p>
      <w:pPr>
        <w:adjustRightInd w:val="0"/>
        <w:snapToGrid w:val="0"/>
        <w:spacing w:line="440" w:lineRule="exact"/>
        <w:ind w:firstLine="420" w:firstLineChars="0"/>
        <w:jc w:val="left"/>
        <w:rPr>
          <w:color w:val="000000" w:themeColor="text1"/>
          <w:sz w:val="24"/>
          <w:u w:val="none"/>
          <w14:textFill>
            <w14:solidFill>
              <w14:schemeClr w14:val="tx1"/>
            </w14:solidFill>
          </w14:textFill>
        </w:rPr>
      </w:pPr>
      <w:r>
        <w:rPr>
          <w:rFonts w:hint="eastAsia"/>
          <w:color w:val="000000" w:themeColor="text1"/>
          <w:szCs w:val="21"/>
          <w:u w:val="none"/>
          <w14:textFill>
            <w14:solidFill>
              <w14:schemeClr w14:val="tx1"/>
            </w14:solidFill>
          </w14:textFill>
        </w:rPr>
        <w:t>表1-2</w:t>
      </w:r>
      <w:r>
        <w:rPr>
          <w:rFonts w:hint="eastAsia"/>
          <w:color w:val="000000" w:themeColor="text1"/>
          <w:sz w:val="24"/>
          <w:u w:val="none"/>
          <w14:textFill>
            <w14:solidFill>
              <w14:schemeClr w14:val="tx1"/>
            </w14:solidFill>
          </w14:textFill>
        </w:rPr>
        <w:t xml:space="preserve">                   本溪市本级细河水利工程基本情况</w:t>
      </w:r>
    </w:p>
    <w:tbl>
      <w:tblPr>
        <w:tblStyle w:val="12"/>
        <w:tblW w:w="0" w:type="auto"/>
        <w:tblInd w:w="515" w:type="dxa"/>
        <w:tblLayout w:type="fixed"/>
        <w:tblCellMar>
          <w:top w:w="15" w:type="dxa"/>
          <w:left w:w="15" w:type="dxa"/>
          <w:bottom w:w="15" w:type="dxa"/>
          <w:right w:w="15" w:type="dxa"/>
        </w:tblCellMar>
      </w:tblPr>
      <w:tblGrid>
        <w:gridCol w:w="1100"/>
        <w:gridCol w:w="800"/>
        <w:gridCol w:w="1933"/>
        <w:gridCol w:w="2450"/>
        <w:gridCol w:w="2000"/>
      </w:tblGrid>
      <w:tr>
        <w:tblPrEx>
          <w:tblCellMar>
            <w:top w:w="15" w:type="dxa"/>
            <w:left w:w="15" w:type="dxa"/>
            <w:bottom w:w="15" w:type="dxa"/>
            <w:right w:w="15" w:type="dxa"/>
          </w:tblCellMar>
        </w:tblPrEx>
        <w:trPr>
          <w:trHeight w:val="555" w:hRule="atLeast"/>
        </w:trPr>
        <w:tc>
          <w:tcPr>
            <w:tcW w:w="1100" w:type="dxa"/>
            <w:tcBorders>
              <w:top w:val="doub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所属河流</w:t>
            </w:r>
          </w:p>
        </w:tc>
        <w:tc>
          <w:tcPr>
            <w:tcW w:w="800" w:type="dxa"/>
            <w:tcBorders>
              <w:top w:val="doub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岸别</w:t>
            </w:r>
          </w:p>
        </w:tc>
        <w:tc>
          <w:tcPr>
            <w:tcW w:w="1933" w:type="dxa"/>
            <w:tcBorders>
              <w:top w:val="doub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防洪标准（年一遇）</w:t>
            </w:r>
          </w:p>
        </w:tc>
        <w:tc>
          <w:tcPr>
            <w:tcW w:w="2450" w:type="dxa"/>
            <w:tcBorders>
              <w:top w:val="doub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堤防型式</w:t>
            </w:r>
          </w:p>
        </w:tc>
        <w:tc>
          <w:tcPr>
            <w:tcW w:w="2000" w:type="dxa"/>
            <w:tcBorders>
              <w:top w:val="doub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堤防长度</w:t>
            </w:r>
            <w:r>
              <w:rPr>
                <w:rFonts w:hint="eastAsia" w:ascii="宋体" w:hAnsi="宋体" w:cs="宋体"/>
                <w:color w:val="000000" w:themeColor="text1"/>
                <w:kern w:val="0"/>
                <w:sz w:val="22"/>
                <w:szCs w:val="22"/>
                <w:u w:val="none"/>
                <w14:textFill>
                  <w14:solidFill>
                    <w14:schemeClr w14:val="tx1"/>
                  </w14:solidFill>
                </w14:textFill>
              </w:rPr>
              <w:br w:type="textWrapping"/>
            </w:r>
            <w:r>
              <w:rPr>
                <w:rFonts w:hint="eastAsia" w:ascii="宋体" w:hAnsi="宋体" w:cs="宋体"/>
                <w:color w:val="000000" w:themeColor="text1"/>
                <w:kern w:val="0"/>
                <w:sz w:val="22"/>
                <w:szCs w:val="22"/>
                <w:u w:val="none"/>
                <w14:textFill>
                  <w14:solidFill>
                    <w14:schemeClr w14:val="tx1"/>
                  </w14:solidFill>
                </w14:textFill>
              </w:rPr>
              <w:t>(km)</w:t>
            </w:r>
          </w:p>
        </w:tc>
      </w:tr>
      <w:tr>
        <w:tblPrEx>
          <w:tblCellMar>
            <w:top w:w="15" w:type="dxa"/>
            <w:left w:w="15" w:type="dxa"/>
            <w:bottom w:w="15" w:type="dxa"/>
            <w:right w:w="15" w:type="dxa"/>
          </w:tblCellMar>
        </w:tblPrEx>
        <w:trPr>
          <w:trHeight w:val="455" w:hRule="atLeast"/>
        </w:trPr>
        <w:tc>
          <w:tcPr>
            <w:tcW w:w="1100" w:type="dxa"/>
            <w:vMerge w:val="restart"/>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细河</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左岸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20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面板护坡</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9.6</w:t>
            </w:r>
          </w:p>
        </w:tc>
      </w:tr>
      <w:tr>
        <w:tblPrEx>
          <w:tblCellMar>
            <w:top w:w="15" w:type="dxa"/>
            <w:left w:w="15" w:type="dxa"/>
            <w:bottom w:w="15" w:type="dxa"/>
            <w:right w:w="15" w:type="dxa"/>
          </w:tblCellMar>
        </w:tblPrEx>
        <w:trPr>
          <w:trHeight w:val="42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浆砌石直墙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3.8</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连锁砖护坡</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1.2</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 w:val="22"/>
                <w:szCs w:val="22"/>
                <w:u w:val="none"/>
                <w14:textFill>
                  <w14:solidFill>
                    <w14:schemeClr w14:val="tx1"/>
                  </w14:solidFill>
                </w14:textFill>
              </w:rPr>
            </w:pP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2.2</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左岸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混凝土直墙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0.8</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左岸</w:t>
            </w:r>
          </w:p>
        </w:tc>
        <w:tc>
          <w:tcPr>
            <w:tcW w:w="193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20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连锁砖护坡和混凝土直墙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2.2</w:t>
            </w:r>
          </w:p>
        </w:tc>
      </w:tr>
      <w:tr>
        <w:tblPrEx>
          <w:tblCellMar>
            <w:top w:w="15" w:type="dxa"/>
            <w:left w:w="15" w:type="dxa"/>
            <w:bottom w:w="15" w:type="dxa"/>
            <w:right w:w="15" w:type="dxa"/>
          </w:tblCellMar>
        </w:tblPrEx>
        <w:trPr>
          <w:trHeight w:val="285"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000000" w:themeColor="text1"/>
                <w:sz w:val="22"/>
                <w:szCs w:val="22"/>
                <w:u w:val="none"/>
                <w14:textFill>
                  <w14:solidFill>
                    <w14:schemeClr w14:val="tx1"/>
                  </w14:solidFill>
                </w14:textFill>
              </w:rPr>
            </w:pP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复式断面</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2.2</w:t>
            </w:r>
          </w:p>
        </w:tc>
      </w:tr>
      <w:tr>
        <w:tblPrEx>
          <w:tblCellMar>
            <w:top w:w="15" w:type="dxa"/>
            <w:left w:w="15" w:type="dxa"/>
            <w:bottom w:w="15" w:type="dxa"/>
            <w:right w:w="15" w:type="dxa"/>
          </w:tblCellMar>
        </w:tblPrEx>
        <w:trPr>
          <w:trHeight w:val="285"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毛石混凝土直墙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1.5</w:t>
            </w:r>
          </w:p>
        </w:tc>
      </w:tr>
      <w:tr>
        <w:tblPrEx>
          <w:tblCellMar>
            <w:top w:w="15" w:type="dxa"/>
            <w:left w:w="15" w:type="dxa"/>
            <w:bottom w:w="15" w:type="dxa"/>
            <w:right w:w="15" w:type="dxa"/>
          </w:tblCellMar>
        </w:tblPrEx>
        <w:trPr>
          <w:trHeight w:val="285"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连锁砖护坡</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0.9</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左岸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混凝土仰斜墙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3.2</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浆砌石直墙</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3.2</w:t>
            </w:r>
          </w:p>
        </w:tc>
      </w:tr>
      <w:tr>
        <w:tblPrEx>
          <w:tblCellMar>
            <w:top w:w="15" w:type="dxa"/>
            <w:left w:w="15" w:type="dxa"/>
            <w:bottom w:w="15" w:type="dxa"/>
            <w:right w:w="15" w:type="dxa"/>
          </w:tblCellMar>
        </w:tblPrEx>
        <w:trPr>
          <w:trHeight w:val="540" w:hRule="atLeast"/>
        </w:trPr>
        <w:tc>
          <w:tcPr>
            <w:tcW w:w="1100" w:type="dxa"/>
            <w:vMerge w:val="continue"/>
            <w:tcBorders>
              <w:top w:val="single" w:color="000000" w:sz="4" w:space="0"/>
              <w:left w:val="doub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右岸</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10</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干砌石护坡</w:t>
            </w:r>
          </w:p>
        </w:tc>
        <w:tc>
          <w:tcPr>
            <w:tcW w:w="2000" w:type="dxa"/>
            <w:tcBorders>
              <w:top w:val="single" w:color="000000" w:sz="4" w:space="0"/>
              <w:left w:val="single" w:color="000000" w:sz="4" w:space="0"/>
              <w:bottom w:val="sing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0.7</w:t>
            </w:r>
          </w:p>
        </w:tc>
      </w:tr>
      <w:tr>
        <w:tblPrEx>
          <w:tblCellMar>
            <w:top w:w="15" w:type="dxa"/>
            <w:left w:w="15" w:type="dxa"/>
            <w:bottom w:w="15" w:type="dxa"/>
            <w:right w:w="15" w:type="dxa"/>
          </w:tblCellMar>
        </w:tblPrEx>
        <w:trPr>
          <w:trHeight w:val="285" w:hRule="atLeast"/>
        </w:trPr>
        <w:tc>
          <w:tcPr>
            <w:tcW w:w="1900" w:type="dxa"/>
            <w:gridSpan w:val="2"/>
            <w:tcBorders>
              <w:top w:val="single" w:color="000000" w:sz="4" w:space="0"/>
              <w:left w:val="double" w:color="000000" w:sz="4" w:space="0"/>
              <w:bottom w:val="doub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合计</w:t>
            </w:r>
          </w:p>
        </w:tc>
        <w:tc>
          <w:tcPr>
            <w:tcW w:w="1933" w:type="dxa"/>
            <w:tcBorders>
              <w:top w:val="single" w:color="000000" w:sz="4" w:space="0"/>
              <w:left w:val="single" w:color="000000" w:sz="4" w:space="0"/>
              <w:bottom w:val="doub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2"/>
                <w:szCs w:val="22"/>
                <w:u w:val="none"/>
                <w14:textFill>
                  <w14:solidFill>
                    <w14:schemeClr w14:val="tx1"/>
                  </w14:solidFill>
                </w14:textFill>
              </w:rPr>
            </w:pPr>
          </w:p>
        </w:tc>
        <w:tc>
          <w:tcPr>
            <w:tcW w:w="2450" w:type="dxa"/>
            <w:tcBorders>
              <w:top w:val="single" w:color="000000" w:sz="4" w:space="0"/>
              <w:left w:val="single" w:color="000000" w:sz="4" w:space="0"/>
              <w:bottom w:val="double" w:color="000000" w:sz="4" w:space="0"/>
              <w:right w:val="single" w:color="000000" w:sz="4" w:space="0"/>
            </w:tcBorders>
            <w:noWrap w:val="0"/>
            <w:vAlign w:val="center"/>
          </w:tcPr>
          <w:p>
            <w:pPr>
              <w:jc w:val="center"/>
              <w:rPr>
                <w:rFonts w:ascii="宋体" w:hAnsi="宋体" w:cs="宋体"/>
                <w:color w:val="000000" w:themeColor="text1"/>
                <w:sz w:val="22"/>
                <w:szCs w:val="22"/>
                <w:u w:val="none"/>
                <w14:textFill>
                  <w14:solidFill>
                    <w14:schemeClr w14:val="tx1"/>
                  </w14:solidFill>
                </w14:textFill>
              </w:rPr>
            </w:pPr>
          </w:p>
        </w:tc>
        <w:tc>
          <w:tcPr>
            <w:tcW w:w="2000" w:type="dxa"/>
            <w:tcBorders>
              <w:top w:val="single" w:color="000000" w:sz="4" w:space="0"/>
              <w:left w:val="single" w:color="000000" w:sz="4" w:space="0"/>
              <w:bottom w:val="double" w:color="000000" w:sz="4" w:space="0"/>
              <w:right w:val="double" w:color="000000" w:sz="4" w:space="0"/>
            </w:tcBorders>
            <w:noWrap w:val="0"/>
            <w:vAlign w:val="center"/>
          </w:tcPr>
          <w:p>
            <w:pPr>
              <w:widowControl/>
              <w:jc w:val="center"/>
              <w:textAlignment w:val="center"/>
              <w:rPr>
                <w:rFonts w:ascii="宋体" w:hAnsi="宋体" w:cs="宋体"/>
                <w:color w:val="000000" w:themeColor="text1"/>
                <w:sz w:val="22"/>
                <w:szCs w:val="22"/>
                <w:u w:val="none"/>
                <w14:textFill>
                  <w14:solidFill>
                    <w14:schemeClr w14:val="tx1"/>
                  </w14:solidFill>
                </w14:textFill>
              </w:rPr>
            </w:pPr>
            <w:r>
              <w:rPr>
                <w:rFonts w:hint="eastAsia" w:ascii="宋体" w:hAnsi="宋体" w:cs="宋体"/>
                <w:color w:val="000000" w:themeColor="text1"/>
                <w:kern w:val="0"/>
                <w:sz w:val="22"/>
                <w:szCs w:val="22"/>
                <w:u w:val="none"/>
                <w14:textFill>
                  <w14:solidFill>
                    <w14:schemeClr w14:val="tx1"/>
                  </w14:solidFill>
                </w14:textFill>
              </w:rPr>
              <w:t>31.5</w:t>
            </w:r>
          </w:p>
        </w:tc>
      </w:tr>
    </w:tbl>
    <w:p>
      <w:pPr>
        <w:adjustRightInd w:val="0"/>
        <w:snapToGrid w:val="0"/>
        <w:spacing w:line="440" w:lineRule="exact"/>
        <w:ind w:firstLine="420"/>
        <w:jc w:val="left"/>
        <w:rPr>
          <w:color w:val="000000" w:themeColor="text1"/>
          <w:sz w:val="24"/>
          <w:u w:val="none"/>
          <w14:textFill>
            <w14:solidFill>
              <w14:schemeClr w14:val="tx1"/>
            </w14:solidFill>
          </w14:textFill>
        </w:rPr>
      </w:pPr>
      <w:r>
        <w:rPr>
          <w:rFonts w:hint="eastAsia"/>
          <w:color w:val="000000" w:themeColor="text1"/>
          <w:szCs w:val="21"/>
          <w:u w:val="none"/>
          <w14:textFill>
            <w14:solidFill>
              <w14:schemeClr w14:val="tx1"/>
            </w14:solidFill>
          </w14:textFill>
        </w:rPr>
        <w:t>表1-3</w:t>
      </w:r>
      <w:r>
        <w:rPr>
          <w:rFonts w:hint="eastAsia"/>
          <w:color w:val="000000" w:themeColor="text1"/>
          <w:sz w:val="24"/>
          <w:u w:val="none"/>
          <w14:textFill>
            <w14:solidFill>
              <w14:schemeClr w14:val="tx1"/>
            </w14:solidFill>
          </w14:textFill>
        </w:rPr>
        <w:t xml:space="preserve">                 本溪市本级河道基本情况总览表</w:t>
      </w:r>
    </w:p>
    <w:tbl>
      <w:tblPr>
        <w:tblStyle w:val="12"/>
        <w:tblW w:w="0" w:type="auto"/>
        <w:tblInd w:w="62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0"/>
        <w:gridCol w:w="750"/>
        <w:gridCol w:w="1267"/>
        <w:gridCol w:w="800"/>
        <w:gridCol w:w="850"/>
        <w:gridCol w:w="794"/>
        <w:gridCol w:w="1590"/>
        <w:gridCol w:w="1333"/>
        <w:gridCol w:w="9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tblHeader/>
        </w:trPr>
        <w:tc>
          <w:tcPr>
            <w:tcW w:w="550" w:type="dxa"/>
            <w:tcBorders>
              <w:top w:val="double" w:color="auto" w:sz="4" w:space="0"/>
              <w:left w:val="doub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序号</w:t>
            </w:r>
          </w:p>
        </w:tc>
        <w:tc>
          <w:tcPr>
            <w:tcW w:w="750"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河道</w:t>
            </w:r>
          </w:p>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名称</w:t>
            </w:r>
          </w:p>
        </w:tc>
        <w:tc>
          <w:tcPr>
            <w:tcW w:w="1267"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起讫点</w:t>
            </w:r>
          </w:p>
        </w:tc>
        <w:tc>
          <w:tcPr>
            <w:tcW w:w="800"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河道</w:t>
            </w:r>
          </w:p>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长度（</w:t>
            </w:r>
            <w:r>
              <w:rPr>
                <w:rFonts w:ascii="宋体" w:hAnsi="宋体"/>
                <w:color w:val="000000" w:themeColor="text1"/>
                <w:kern w:val="0"/>
                <w:szCs w:val="21"/>
                <w:u w:val="none"/>
                <w14:textFill>
                  <w14:solidFill>
                    <w14:schemeClr w14:val="tx1"/>
                  </w14:solidFill>
                </w14:textFill>
              </w:rPr>
              <w:t>km</w:t>
            </w:r>
            <w:r>
              <w:rPr>
                <w:rFonts w:hint="eastAsia" w:ascii="宋体" w:hAnsi="宋体" w:cs="宋体"/>
                <w:color w:val="000000" w:themeColor="text1"/>
                <w:kern w:val="0"/>
                <w:szCs w:val="21"/>
                <w:u w:val="none"/>
                <w14:textFill>
                  <w14:solidFill>
                    <w14:schemeClr w14:val="tx1"/>
                  </w14:solidFill>
                </w14:textFill>
              </w:rPr>
              <w:t>）</w:t>
            </w:r>
          </w:p>
        </w:tc>
        <w:tc>
          <w:tcPr>
            <w:tcW w:w="850"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堤防长度（km）</w:t>
            </w:r>
          </w:p>
        </w:tc>
        <w:tc>
          <w:tcPr>
            <w:tcW w:w="794"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划界</w:t>
            </w:r>
          </w:p>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长度</w:t>
            </w:r>
          </w:p>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（km）</w:t>
            </w:r>
          </w:p>
        </w:tc>
        <w:tc>
          <w:tcPr>
            <w:tcW w:w="1590"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日常管理单位</w:t>
            </w:r>
          </w:p>
        </w:tc>
        <w:tc>
          <w:tcPr>
            <w:tcW w:w="1333" w:type="dxa"/>
            <w:tcBorders>
              <w:top w:val="doub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河道功能</w:t>
            </w:r>
          </w:p>
        </w:tc>
        <w:tc>
          <w:tcPr>
            <w:tcW w:w="933" w:type="dxa"/>
            <w:tcBorders>
              <w:top w:val="double" w:color="auto" w:sz="4" w:space="0"/>
              <w:left w:val="single" w:color="auto" w:sz="4" w:space="0"/>
              <w:bottom w:val="single" w:color="auto" w:sz="4" w:space="0"/>
              <w:right w:val="double" w:color="auto" w:sz="4" w:space="0"/>
            </w:tcBorders>
            <w:noWrap w:val="0"/>
            <w:vAlign w:val="center"/>
          </w:tcPr>
          <w:p>
            <w:pPr>
              <w:adjustRightInd w:val="0"/>
              <w:snapToGrid w:val="0"/>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9" w:hRule="atLeast"/>
        </w:trPr>
        <w:tc>
          <w:tcPr>
            <w:tcW w:w="550" w:type="dxa"/>
            <w:tcBorders>
              <w:top w:val="single" w:color="auto" w:sz="4" w:space="0"/>
              <w:left w:val="double" w:color="auto" w:sz="4" w:space="0"/>
              <w:bottom w:val="single" w:color="auto" w:sz="4" w:space="0"/>
              <w:right w:val="single" w:color="auto" w:sz="4" w:space="0"/>
            </w:tcBorders>
            <w:noWrap w:val="0"/>
            <w:vAlign w:val="center"/>
          </w:tcPr>
          <w:p>
            <w:pPr>
              <w:widowControl/>
              <w:spacing w:line="240" w:lineRule="exact"/>
              <w:jc w:val="center"/>
              <w:rPr>
                <w:color w:val="000000" w:themeColor="text1"/>
                <w:kern w:val="0"/>
                <w:szCs w:val="21"/>
                <w:u w:val="none"/>
                <w14:textFill>
                  <w14:solidFill>
                    <w14:schemeClr w14:val="tx1"/>
                  </w14:solidFill>
                </w14:textFill>
              </w:rPr>
            </w:pPr>
            <w:r>
              <w:rPr>
                <w:color w:val="000000" w:themeColor="text1"/>
                <w:kern w:val="0"/>
                <w:szCs w:val="21"/>
                <w:u w:val="none"/>
                <w14:textFill>
                  <w14:solidFill>
                    <w14:schemeClr w14:val="tx1"/>
                  </w14:solidFill>
                </w14:textFill>
              </w:rPr>
              <w:t>1</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太子河</w:t>
            </w:r>
          </w:p>
        </w:tc>
        <w:tc>
          <w:tcPr>
            <w:tcW w:w="126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观音阁水库坝下～老和尚洞</w:t>
            </w:r>
          </w:p>
        </w:tc>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color w:val="000000" w:themeColor="text1"/>
                <w:kern w:val="0"/>
                <w:szCs w:val="21"/>
                <w:u w:val="none"/>
                <w14:textFill>
                  <w14:solidFill>
                    <w14:schemeClr w14:val="tx1"/>
                  </w14:solidFill>
                </w14:textFill>
              </w:rPr>
            </w:pPr>
            <w:r>
              <w:rPr>
                <w:rFonts w:ascii="Times New Roman" w:hAnsi="Times New Roman"/>
                <w:color w:val="000000" w:themeColor="text1"/>
                <w:kern w:val="0"/>
                <w:szCs w:val="21"/>
                <w:u w:val="none"/>
                <w14:textFill>
                  <w14:solidFill>
                    <w14:schemeClr w14:val="tx1"/>
                  </w14:solidFill>
                </w14:textFill>
              </w:rPr>
              <w:t>80</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Times New Roman" w:hAnsi="Times New Roman"/>
                <w:color w:val="000000" w:themeColor="text1"/>
                <w:kern w:val="0"/>
                <w:szCs w:val="21"/>
                <w:u w:val="none"/>
                <w14:textFill>
                  <w14:solidFill>
                    <w14:schemeClr w14:val="tx1"/>
                  </w14:solidFill>
                </w14:textFill>
              </w:rPr>
              <w:t>70.89</w:t>
            </w:r>
          </w:p>
        </w:tc>
        <w:tc>
          <w:tcPr>
            <w:tcW w:w="79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color w:val="000000" w:themeColor="text1"/>
                <w:kern w:val="0"/>
                <w:szCs w:val="21"/>
                <w:u w:val="none"/>
                <w14:textFill>
                  <w14:solidFill>
                    <w14:schemeClr w14:val="tx1"/>
                  </w14:solidFill>
                </w14:textFill>
              </w:rPr>
            </w:pPr>
            <w:r>
              <w:rPr>
                <w:rFonts w:hint="eastAsia" w:ascii="Times New Roman" w:hAnsi="Times New Roman"/>
                <w:color w:val="000000" w:themeColor="text1"/>
                <w:kern w:val="0"/>
                <w:szCs w:val="21"/>
                <w:u w:val="none"/>
                <w14:textFill>
                  <w14:solidFill>
                    <w14:schemeClr w14:val="tx1"/>
                  </w14:solidFill>
                </w14:textFill>
              </w:rPr>
              <w:t>160</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本溪县水务局本溪市太子河景区管理处</w:t>
            </w:r>
          </w:p>
        </w:tc>
        <w:tc>
          <w:tcPr>
            <w:tcW w:w="133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行洪、供水、饮用水水源地</w:t>
            </w:r>
          </w:p>
        </w:tc>
        <w:tc>
          <w:tcPr>
            <w:tcW w:w="933" w:type="dxa"/>
            <w:tcBorders>
              <w:top w:val="single" w:color="auto" w:sz="4" w:space="0"/>
              <w:left w:val="single" w:color="auto" w:sz="4" w:space="0"/>
              <w:bottom w:val="single" w:color="auto" w:sz="4" w:space="0"/>
              <w:right w:val="doub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含水文站一座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trPr>
        <w:tc>
          <w:tcPr>
            <w:tcW w:w="550" w:type="dxa"/>
            <w:tcBorders>
              <w:top w:val="single" w:color="auto" w:sz="4" w:space="0"/>
              <w:left w:val="double" w:color="auto" w:sz="4" w:space="0"/>
              <w:bottom w:val="double" w:color="auto" w:sz="4" w:space="0"/>
              <w:right w:val="single" w:color="auto" w:sz="4" w:space="0"/>
            </w:tcBorders>
            <w:noWrap w:val="0"/>
            <w:vAlign w:val="center"/>
          </w:tcPr>
          <w:p>
            <w:pPr>
              <w:widowControl/>
              <w:spacing w:line="240" w:lineRule="exact"/>
              <w:jc w:val="center"/>
              <w:rPr>
                <w:color w:val="000000" w:themeColor="text1"/>
                <w:kern w:val="0"/>
                <w:szCs w:val="21"/>
                <w:u w:val="none"/>
                <w14:textFill>
                  <w14:solidFill>
                    <w14:schemeClr w14:val="tx1"/>
                  </w14:solidFill>
                </w14:textFill>
              </w:rPr>
            </w:pPr>
            <w:r>
              <w:rPr>
                <w:rFonts w:hint="eastAsia"/>
                <w:color w:val="000000" w:themeColor="text1"/>
                <w:kern w:val="0"/>
                <w:szCs w:val="21"/>
                <w:u w:val="none"/>
                <w14:textFill>
                  <w14:solidFill>
                    <w14:schemeClr w14:val="tx1"/>
                  </w14:solidFill>
                </w14:textFill>
              </w:rPr>
              <w:t>2</w:t>
            </w:r>
          </w:p>
        </w:tc>
        <w:tc>
          <w:tcPr>
            <w:tcW w:w="750"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细河</w:t>
            </w:r>
          </w:p>
        </w:tc>
        <w:tc>
          <w:tcPr>
            <w:tcW w:w="1267"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连山关镇中河村～北台街道办事处毛家崴子村</w:t>
            </w:r>
          </w:p>
        </w:tc>
        <w:tc>
          <w:tcPr>
            <w:tcW w:w="800"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Times New Roman" w:hAnsi="Times New Roman"/>
                <w:color w:val="000000" w:themeColor="text1"/>
                <w:kern w:val="0"/>
                <w:szCs w:val="21"/>
                <w:u w:val="none"/>
                <w14:textFill>
                  <w14:solidFill>
                    <w14:schemeClr w14:val="tx1"/>
                  </w14:solidFill>
                </w14:textFill>
              </w:rPr>
            </w:pPr>
            <w:r>
              <w:rPr>
                <w:rFonts w:hint="eastAsia" w:ascii="Times New Roman" w:hAnsi="Times New Roman"/>
                <w:color w:val="000000" w:themeColor="text1"/>
                <w:kern w:val="0"/>
                <w:szCs w:val="21"/>
                <w:u w:val="none"/>
                <w14:textFill>
                  <w14:solidFill>
                    <w14:schemeClr w14:val="tx1"/>
                  </w14:solidFill>
                </w14:textFill>
              </w:rPr>
              <w:t>85</w:t>
            </w:r>
          </w:p>
        </w:tc>
        <w:tc>
          <w:tcPr>
            <w:tcW w:w="850"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ascii="Times New Roman" w:hAnsi="Times New Roman"/>
                <w:color w:val="000000" w:themeColor="text1"/>
                <w:kern w:val="0"/>
                <w:szCs w:val="21"/>
                <w:u w:val="none"/>
                <w14:textFill>
                  <w14:solidFill>
                    <w14:schemeClr w14:val="tx1"/>
                  </w14:solidFill>
                </w14:textFill>
              </w:rPr>
              <w:t>31.50</w:t>
            </w:r>
          </w:p>
        </w:tc>
        <w:tc>
          <w:tcPr>
            <w:tcW w:w="794"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Times New Roman" w:hAnsi="Times New Roman"/>
                <w:color w:val="000000" w:themeColor="text1"/>
                <w:kern w:val="0"/>
                <w:szCs w:val="21"/>
                <w:u w:val="none"/>
                <w14:textFill>
                  <w14:solidFill>
                    <w14:schemeClr w14:val="tx1"/>
                  </w14:solidFill>
                </w14:textFill>
              </w:rPr>
            </w:pPr>
            <w:r>
              <w:rPr>
                <w:rFonts w:hint="eastAsia" w:ascii="Times New Roman" w:hAnsi="Times New Roman"/>
                <w:color w:val="000000" w:themeColor="text1"/>
                <w:kern w:val="0"/>
                <w:szCs w:val="21"/>
                <w:u w:val="none"/>
                <w14:textFill>
                  <w14:solidFill>
                    <w14:schemeClr w14:val="tx1"/>
                  </w14:solidFill>
                </w14:textFill>
              </w:rPr>
              <w:t>170</w:t>
            </w:r>
          </w:p>
        </w:tc>
        <w:tc>
          <w:tcPr>
            <w:tcW w:w="1590"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本溪县水务局</w:t>
            </w:r>
          </w:p>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本溪市南芬区农村经济和水利发展局</w:t>
            </w:r>
          </w:p>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本溪市平山区水利局</w:t>
            </w:r>
          </w:p>
        </w:tc>
        <w:tc>
          <w:tcPr>
            <w:tcW w:w="1333" w:type="dxa"/>
            <w:tcBorders>
              <w:top w:val="single" w:color="auto" w:sz="4" w:space="0"/>
              <w:left w:val="single" w:color="auto" w:sz="4" w:space="0"/>
              <w:bottom w:val="double" w:color="auto" w:sz="4" w:space="0"/>
              <w:right w:val="sing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行洪、供水、饮用水水源地</w:t>
            </w:r>
          </w:p>
        </w:tc>
        <w:tc>
          <w:tcPr>
            <w:tcW w:w="933" w:type="dxa"/>
            <w:tcBorders>
              <w:top w:val="single" w:color="auto" w:sz="4" w:space="0"/>
              <w:left w:val="single" w:color="auto" w:sz="4" w:space="0"/>
              <w:bottom w:val="double" w:color="auto" w:sz="4" w:space="0"/>
              <w:right w:val="double" w:color="auto" w:sz="4" w:space="0"/>
            </w:tcBorders>
            <w:noWrap w:val="0"/>
            <w:vAlign w:val="center"/>
          </w:tcPr>
          <w:p>
            <w:pPr>
              <w:widowControl/>
              <w:spacing w:line="24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含水文站一座</w:t>
            </w:r>
          </w:p>
        </w:tc>
      </w:tr>
    </w:tbl>
    <w:p>
      <w:pPr>
        <w:snapToGrid w:val="0"/>
        <w:spacing w:line="440" w:lineRule="exact"/>
        <w:ind w:firstLine="480" w:firstLineChars="200"/>
        <w:jc w:val="left"/>
        <w:rPr>
          <w:color w:val="000000" w:themeColor="text1"/>
          <w:sz w:val="24"/>
          <w:u w:val="none"/>
          <w14:textFill>
            <w14:solidFill>
              <w14:schemeClr w14:val="tx1"/>
            </w14:solidFill>
          </w14:textFill>
        </w:rPr>
      </w:pPr>
    </w:p>
    <w:p>
      <w:pPr>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太子河和细河的各个日常管理单位，开展河道和水利工程日常管护和巡查保洁，保证水利工程设施运转良好，河道水域、岸坡整洁；做好日常巡查记录，发现工程安全隐患并及时处理。</w:t>
      </w:r>
    </w:p>
    <w:p>
      <w:pPr>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按照依法行政、依法治水的理念，在加大河道管理有关法律法规宣传教育的同时，进一步明确和界定河道和水利工程管理范围，落实管理责任，依法开展巡查管理，严肃查处各类侵占填埋河道、河道水域等违法行为，制止和清除河道内各种阻水障碍物、拦渔设施等违章行为，纠正随意向河道内倾倒各类生产生活垃圾等不良行为，严格审批、有效监管各类涉水项目的建设，确保河道行洪畅通和综合功能的全面发挥。</w:t>
      </w:r>
    </w:p>
    <w:p>
      <w:pPr>
        <w:pStyle w:val="3"/>
        <w:numPr>
          <w:ilvl w:val="0"/>
          <w:numId w:val="0"/>
        </w:numPr>
        <w:spacing w:beforeLines="0" w:afterLines="0" w:line="440" w:lineRule="exact"/>
        <w:jc w:val="left"/>
        <w:rPr>
          <w:color w:val="000000" w:themeColor="text1"/>
          <w:sz w:val="24"/>
          <w:u w:val="none"/>
          <w14:textFill>
            <w14:solidFill>
              <w14:schemeClr w14:val="tx1"/>
            </w14:solidFill>
          </w14:textFill>
        </w:rPr>
      </w:pPr>
      <w:bookmarkStart w:id="8" w:name="_Toc517440876"/>
      <w:bookmarkStart w:id="9" w:name="_Toc30070"/>
      <w:r>
        <w:rPr>
          <w:color w:val="000000" w:themeColor="text1"/>
          <w:sz w:val="24"/>
          <w:szCs w:val="24"/>
          <w:u w:val="none"/>
          <w14:textFill>
            <w14:solidFill>
              <w14:schemeClr w14:val="tx1"/>
            </w14:solidFill>
          </w14:textFill>
        </w:rPr>
        <w:t>1.2</w:t>
      </w:r>
      <w:r>
        <w:rPr>
          <w:rFonts w:hint="eastAsia"/>
          <w:color w:val="000000" w:themeColor="text1"/>
          <w:sz w:val="24"/>
          <w:szCs w:val="24"/>
          <w:u w:val="none"/>
          <w14:textFill>
            <w14:solidFill>
              <w14:schemeClr w14:val="tx1"/>
            </w14:solidFill>
          </w14:textFill>
        </w:rPr>
        <w:t>划界</w:t>
      </w:r>
      <w:bookmarkEnd w:id="8"/>
      <w:r>
        <w:rPr>
          <w:rFonts w:hint="eastAsia"/>
          <w:color w:val="000000" w:themeColor="text1"/>
          <w:sz w:val="24"/>
          <w:szCs w:val="24"/>
          <w:u w:val="none"/>
          <w14:textFill>
            <w14:solidFill>
              <w14:schemeClr w14:val="tx1"/>
            </w14:solidFill>
          </w14:textFill>
        </w:rPr>
        <w:t>现状及存在问题</w:t>
      </w:r>
      <w:bookmarkEnd w:id="9"/>
    </w:p>
    <w:p>
      <w:pPr>
        <w:tabs>
          <w:tab w:val="left" w:pos="0"/>
        </w:tabs>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1.2.1现状调查摸底情况</w:t>
      </w:r>
    </w:p>
    <w:p>
      <w:pPr>
        <w:tabs>
          <w:tab w:val="left" w:pos="0"/>
        </w:tabs>
        <w:snapToGrid w:val="0"/>
        <w:spacing w:line="440" w:lineRule="exact"/>
        <w:ind w:firstLine="480" w:firstLineChars="200"/>
        <w:jc w:val="left"/>
        <w:rPr>
          <w:rFonts w:ascii="Times New Roman" w:hAnsi="Times New Roman"/>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根据2017年对本溪市本级河道管理河道现状调查摸底情况，本溪市本级河道管理应</w:t>
      </w:r>
      <w:r>
        <w:rPr>
          <w:rFonts w:hint="eastAsia" w:ascii="Times New Roman" w:hAnsi="Times New Roman"/>
          <w:color w:val="000000" w:themeColor="text1"/>
          <w:sz w:val="24"/>
          <w:u w:val="none"/>
          <w14:textFill>
            <w14:solidFill>
              <w14:schemeClr w14:val="tx1"/>
            </w14:solidFill>
          </w14:textFill>
        </w:rPr>
        <w:t>完成划界长度总长330km²。</w:t>
      </w:r>
    </w:p>
    <w:p>
      <w:pPr>
        <w:tabs>
          <w:tab w:val="left" w:pos="0"/>
        </w:tabs>
        <w:snapToGrid w:val="0"/>
        <w:spacing w:line="440" w:lineRule="exact"/>
        <w:ind w:firstLine="42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1.2.2存在问题</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（1）历史遗留问题较多</w:t>
      </w:r>
    </w:p>
    <w:p>
      <w:pPr>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河道和水利工程管理范围土地权属复杂，进行划界时，纠纷较多，容易激化矛盾。特别是部分土地在相关法律出台之前一直由沿岸老百姓耕种，甚至在其上存有建筑物。</w:t>
      </w:r>
    </w:p>
    <w:p>
      <w:pPr>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（2）河道保护的意识不强、社会宣传力度不足</w:t>
      </w:r>
    </w:p>
    <w:p>
      <w:pPr>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乡镇及乡村附近的河道，一些单位和村民受传统习惯的影响，加之社会宣传力度不够，导致文明意识较差，法制观念淡薄，致使有的把河道作为天然垃圾场，任意向河道内倾倒垃圾、废物；有的任意侵占河道工程用地搞违章搭建。</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（3）工作量较大、资料搜集困难</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本溪市本级河道</w:t>
      </w:r>
      <w:r>
        <w:rPr>
          <w:rFonts w:hint="eastAsia" w:ascii="宋体" w:hAnsi="宋体" w:cs="宋体"/>
          <w:color w:val="000000" w:themeColor="text1"/>
          <w:sz w:val="24"/>
          <w:u w:val="none"/>
          <w14:textFill>
            <w14:solidFill>
              <w14:schemeClr w14:val="tx1"/>
            </w14:solidFill>
          </w14:textFill>
        </w:rPr>
        <w:t>管理范围划界工作，工作量较大。加之大部分要政府安排资金，困难较大。</w:t>
      </w:r>
    </w:p>
    <w:p>
      <w:pPr>
        <w:pStyle w:val="3"/>
        <w:numPr>
          <w:ilvl w:val="0"/>
          <w:numId w:val="0"/>
        </w:numPr>
        <w:spacing w:beforeLines="0" w:afterLines="0" w:line="440" w:lineRule="exact"/>
        <w:ind w:left="0" w:firstLine="0"/>
        <w:jc w:val="left"/>
        <w:rPr>
          <w:color w:val="000000" w:themeColor="text1"/>
          <w:sz w:val="24"/>
          <w:szCs w:val="24"/>
          <w:u w:val="none"/>
          <w14:textFill>
            <w14:solidFill>
              <w14:schemeClr w14:val="tx1"/>
            </w14:solidFill>
          </w14:textFill>
        </w:rPr>
      </w:pPr>
      <w:bookmarkStart w:id="10" w:name="_Toc9681"/>
      <w:r>
        <w:rPr>
          <w:rFonts w:hint="eastAsia"/>
          <w:color w:val="000000" w:themeColor="text1"/>
          <w:sz w:val="24"/>
          <w:szCs w:val="24"/>
          <w:u w:val="none"/>
          <w14:textFill>
            <w14:solidFill>
              <w14:schemeClr w14:val="tx1"/>
            </w14:solidFill>
          </w14:textFill>
        </w:rPr>
        <w:t>1.3划界的必要性和可行性</w:t>
      </w:r>
      <w:bookmarkEnd w:id="10"/>
    </w:p>
    <w:p>
      <w:pPr>
        <w:tabs>
          <w:tab w:val="left" w:pos="0"/>
        </w:tabs>
        <w:snapToGrid w:val="0"/>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1.3.1必要性</w:t>
      </w:r>
    </w:p>
    <w:p>
      <w:pPr>
        <w:pStyle w:val="14"/>
        <w:numPr>
          <w:ilvl w:val="0"/>
          <w:numId w:val="3"/>
        </w:numPr>
        <w:adjustRightInd w:val="0"/>
        <w:snapToGrid w:val="0"/>
        <w:spacing w:line="440" w:lineRule="exact"/>
        <w:ind w:left="0" w:firstLine="48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政府依法履职的需要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《中华人民共和国水法》、《中华人民共和国防洪法》、《中华人民共和国河道管理条例》等法律条例对河道堤防管理范围的划界作出了明确规定，开展划界工作是法律赋予各级人民政府的责任与义务。</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全面推进依法行政，实现河道管理行政行为的法制化、规范化。河道堤防管理范围是进行水行政执法管理工作的界域，是水行政执法管理工作的基本条件和依据，不划定河道堤防管理范围，执法管理的区域和权限无法得到界定，水行政执法管理工作将成为无源之水、无木之本，难以施行。因此，为了使河道堤防等管理工作走上法制化、规范化的道路，必须进行划定河道堤防管理范围。</w:t>
      </w:r>
    </w:p>
    <w:p>
      <w:pPr>
        <w:pStyle w:val="14"/>
        <w:numPr>
          <w:ilvl w:val="0"/>
          <w:numId w:val="3"/>
        </w:numPr>
        <w:adjustRightInd w:val="0"/>
        <w:snapToGrid w:val="0"/>
        <w:spacing w:line="440" w:lineRule="exact"/>
        <w:ind w:left="0" w:firstLine="48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新时期治水方针和思路的需要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黑体"/>
          <w:color w:val="000000" w:themeColor="text1"/>
          <w:kern w:val="0"/>
          <w:sz w:val="24"/>
          <w:u w:val="none"/>
          <w14:textFill>
            <w14:solidFill>
              <w14:schemeClr w14:val="tx1"/>
            </w14:solidFill>
          </w14:textFill>
        </w:rPr>
        <w:t>为深入贯彻落实党的十八届三中全会精神，明确要求开展河道等自然生态空间的统一登记，切实加强河道及水利工程管理与保护，充分发挥河道综合功能。</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中央和水利部新时期的治水方针和思路是坚持科学发展观，实现人与自然和谐共处，全面推进可持续发展水利。河道是千万年来在水流和地质作用下自然形成的水流排泄通道，要坚持科学发展观，实现人与自然和谐共处，全面推进可持续发展水利，就要求我们在河道整治中掌握河道演变的规律，趋利避害，尽可能保持河道的天然状态，避免人为大规模改变河道天然行洪条件，推进生态文明建设。</w:t>
      </w:r>
    </w:p>
    <w:p>
      <w:pPr>
        <w:pStyle w:val="14"/>
        <w:numPr>
          <w:ilvl w:val="0"/>
          <w:numId w:val="3"/>
        </w:numPr>
        <w:adjustRightInd w:val="0"/>
        <w:snapToGrid w:val="0"/>
        <w:spacing w:line="440" w:lineRule="exact"/>
        <w:ind w:left="0" w:firstLine="48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水利管理体制改革的需要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由于“重建轻管”思想的影响，水利工程管理体制不顺，管理职责不清，单位性质不明，机制不活，导致大量水利工程老化失修，久病成险，效益衰减，进而影响水利工程的安全运营，使水利工程难以发挥预期的社会效益和经济效益。2002年国务院批准并颁布了《水利工程管理体制改革实施意见》，河道堤防工程划界工作是水利体制改革的重要内容。划界有利于界定水利工程国有资产，明晰产权，为资产重组打下基础；有利于管养分离制度的实施；有利于建立科学、规范的管理体制，确保河道堤防工程良性运行，充分发挥工程效益。</w:t>
      </w:r>
    </w:p>
    <w:p>
      <w:pPr>
        <w:pStyle w:val="14"/>
        <w:numPr>
          <w:ilvl w:val="0"/>
          <w:numId w:val="3"/>
        </w:numPr>
        <w:adjustRightInd w:val="0"/>
        <w:snapToGrid w:val="0"/>
        <w:spacing w:line="440" w:lineRule="exact"/>
        <w:ind w:left="0" w:firstLine="48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提高管理水平和“贯标升级”的需要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为推进河道堤防工程管理规范化、制度化、现代化，进一步提升河道堤防工程管理单位的管理水平，2003年水利部发布了《水利工程管理考核办法》（试行）及河道工程管理考核标准。河道堤防管理范围划</w:t>
      </w:r>
      <w:bookmarkStart w:id="11" w:name="_Toc440348789"/>
      <w:r>
        <w:rPr>
          <w:rFonts w:hint="eastAsia" w:ascii="宋体" w:hAnsi="宋体" w:cs="宋体"/>
          <w:color w:val="000000" w:themeColor="text1"/>
          <w:sz w:val="24"/>
          <w:u w:val="none"/>
          <w14:textFill>
            <w14:solidFill>
              <w14:schemeClr w14:val="tx1"/>
            </w14:solidFill>
          </w14:textFill>
        </w:rPr>
        <w:t>界是考核标准</w:t>
      </w:r>
      <w:bookmarkEnd w:id="11"/>
      <w:r>
        <w:rPr>
          <w:rFonts w:hint="eastAsia" w:ascii="宋体" w:hAnsi="宋体" w:cs="宋体"/>
          <w:color w:val="000000" w:themeColor="text1"/>
          <w:sz w:val="24"/>
          <w:u w:val="none"/>
          <w14:textFill>
            <w14:solidFill>
              <w14:schemeClr w14:val="tx1"/>
            </w14:solidFill>
          </w14:textFill>
        </w:rPr>
        <w:t>的重要指标。全省各河道堤防管理单位必须按照考核办法的规定，对照考核标准，开展河道堤防管理范围划界工作，完善和强化工程管理，提升管理水平。</w:t>
      </w:r>
    </w:p>
    <w:p>
      <w:pPr>
        <w:pStyle w:val="14"/>
        <w:numPr>
          <w:ilvl w:val="0"/>
          <w:numId w:val="3"/>
        </w:numPr>
        <w:adjustRightInd w:val="0"/>
        <w:snapToGrid w:val="0"/>
        <w:spacing w:line="440" w:lineRule="exact"/>
        <w:ind w:left="0" w:firstLine="48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确保堤防工程安全和河道行洪安全的需要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堤防工程是国民经济的基础设施，是经济建设和人民生命财产安全的重要保障条件，为加强堤防工程管理，保护工程设施，充分发挥综合效益，必须划定河道堤防管理范围。过去由于没有划定河道堤防管理范围，执法管理过程中存在界线不清，执法管理工作难以开展，执法管理力度不够的问题，普遍存在与水争地，与河争道，乱占乱建等违法现象，阻碍河道行洪，降低行洪能力，出现了小流量高水位的反常现象，严重的导致河势改变，引起河岸崩塌，加剧堤防险情，影响堤防工程安全和防汛安全，造成不必要的洪涝灾害损失。因此，要确保堤防工程安全和河道行洪安全，必须尽早划定河道堤防管理范围。</w:t>
      </w:r>
    </w:p>
    <w:p>
      <w:pPr>
        <w:tabs>
          <w:tab w:val="left" w:pos="0"/>
        </w:tabs>
        <w:snapToGrid w:val="0"/>
        <w:spacing w:before="166" w:after="166" w:line="440" w:lineRule="exact"/>
        <w:jc w:val="left"/>
        <w:rPr>
          <w:color w:val="000000" w:themeColor="text1"/>
          <w:sz w:val="24"/>
          <w:u w:val="none"/>
          <w14:textFill>
            <w14:solidFill>
              <w14:schemeClr w14:val="tx1"/>
            </w14:solidFill>
          </w14:textFill>
        </w:rPr>
      </w:pPr>
    </w:p>
    <w:p>
      <w:pPr>
        <w:tabs>
          <w:tab w:val="left" w:pos="0"/>
        </w:tabs>
        <w:snapToGrid w:val="0"/>
        <w:spacing w:before="166" w:after="166"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1.3.2可行性</w:t>
      </w:r>
    </w:p>
    <w:p>
      <w:pPr>
        <w:numPr>
          <w:ilvl w:val="0"/>
          <w:numId w:val="4"/>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具有相关法律、法规和政策等文件支撑</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河道及水利</w:t>
      </w:r>
      <w:r>
        <w:rPr>
          <w:rFonts w:ascii="宋体" w:hAnsi="宋体" w:cs="宋体"/>
          <w:color w:val="000000" w:themeColor="text1"/>
          <w:sz w:val="24"/>
          <w:u w:val="none"/>
          <w14:textFill>
            <w14:solidFill>
              <w14:schemeClr w14:val="tx1"/>
            </w14:solidFill>
          </w14:textFill>
        </w:rPr>
        <w:t>工程划界，使河道范围界定，资源管理，受益明确，有利于水法规的贯彻执行。1988年6月3日国务院第七次常委会议通过，1988年6月10日国务院令第三号布《中华人民共和国河道管理等条例》第二十条规定“河道的具体管理范围，由县级以上地方人民政府负责划定”。1989年3月水利部〔1989〕5号文《关于抓紧划定水利工程管理和保护范围的通知》中明确了水利工程管理和保护用地的权属和划定方法。1995年1月12日水利部水管〔1995〕13号文《关于加快水利工程土地划界工作的通知》要求各地区加快水利工程划界，明确工程用地权属，并及时领取土地使用证。</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本次</w:t>
      </w:r>
      <w:r>
        <w:rPr>
          <w:rFonts w:ascii="宋体" w:hAnsi="宋体" w:cs="宋体"/>
          <w:color w:val="000000" w:themeColor="text1"/>
          <w:sz w:val="24"/>
          <w:u w:val="none"/>
          <w14:textFill>
            <w14:solidFill>
              <w14:schemeClr w14:val="tx1"/>
            </w14:solidFill>
          </w14:textFill>
        </w:rPr>
        <w:t>开展河道及水利工程划界工作是按照《水利部办公厅关于开展河湖及水利工程划界情况调查工作的通知》要求开展的一个专项工作，是对《水利部关于深化水利改革的指导意见》和《水利部深化水利改革领导小组2014年工作要点》的具体落实，做好这项工作，对水利部全面了解各地各单位划界实际情况以及存在的问题，推动水利改革深化具有重要意义。</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随着《物权法》、《不动产登记暂行条例》等相关法律、法规的颁布，以及</w:t>
      </w:r>
      <w:r>
        <w:rPr>
          <w:rFonts w:ascii="宋体" w:hAnsi="宋体" w:cs="宋体"/>
          <w:color w:val="000000" w:themeColor="text1"/>
          <w:sz w:val="24"/>
          <w:u w:val="none"/>
          <w14:textFill>
            <w14:solidFill>
              <w14:schemeClr w14:val="tx1"/>
            </w14:solidFill>
          </w14:textFill>
        </w:rPr>
        <w:t>第二次全国土地调查</w:t>
      </w:r>
      <w:r>
        <w:rPr>
          <w:rFonts w:hint="eastAsia" w:ascii="宋体" w:hAnsi="宋体" w:cs="宋体"/>
          <w:color w:val="000000" w:themeColor="text1"/>
          <w:sz w:val="24"/>
          <w:u w:val="none"/>
          <w14:textFill>
            <w14:solidFill>
              <w14:schemeClr w14:val="tx1"/>
            </w14:solidFill>
          </w14:textFill>
        </w:rPr>
        <w:t>完成和农村土地登记发证工作的开展，整个社会对土地权属的认识越来越深刻，依法保护土地及其上附着物的法律意识已逐步深入人心。</w:t>
      </w:r>
    </w:p>
    <w:p>
      <w:pPr>
        <w:numPr>
          <w:ilvl w:val="0"/>
          <w:numId w:val="4"/>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已具备的工作基础</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水利建设一直是政府基础设施建设的重点内容，长期以来投入了大量的资金进行河道的治理和建设，工程建设成果显著。为了按照规划既定的布局和任务稳步推进河道的建设，加强对河道和水利工程管护，一直以来，在不断多方筹措资金，争取政府财政支持，持续推动划界工作，目前已经完成了部分水利工程的工作。</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本溪市水务局2012年完成了域内的水利普查工作，获取了全境的基础水信息资料，</w:t>
      </w:r>
      <w:r>
        <w:rPr>
          <w:rFonts w:ascii="宋体" w:hAnsi="宋体" w:cs="宋体"/>
          <w:color w:val="000000" w:themeColor="text1"/>
          <w:sz w:val="24"/>
          <w:u w:val="none"/>
          <w14:textFill>
            <w14:solidFill>
              <w14:schemeClr w14:val="tx1"/>
            </w14:solidFill>
          </w14:textFill>
        </w:rPr>
        <w:t>为全面了解水利</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"http://baike.baidu.com/view/141536.htm" \t "_blank" </w:instrText>
      </w:r>
      <w:r>
        <w:rPr>
          <w:color w:val="000000" w:themeColor="text1"/>
          <w:u w:val="none"/>
          <w14:textFill>
            <w14:solidFill>
              <w14:schemeClr w14:val="tx1"/>
            </w14:solidFill>
          </w14:textFill>
        </w:rPr>
        <w:fldChar w:fldCharType="separate"/>
      </w:r>
      <w:r>
        <w:rPr>
          <w:rFonts w:ascii="宋体" w:hAnsi="宋体" w:cs="宋体"/>
          <w:color w:val="000000" w:themeColor="text1"/>
          <w:sz w:val="24"/>
          <w:u w:val="none"/>
          <w14:textFill>
            <w14:solidFill>
              <w14:schemeClr w14:val="tx1"/>
            </w14:solidFill>
          </w14:textFill>
        </w:rPr>
        <w:t>发展</w:t>
      </w:r>
      <w:r>
        <w:rPr>
          <w:rFonts w:ascii="宋体" w:hAnsi="宋体" w:cs="宋体"/>
          <w:color w:val="000000" w:themeColor="text1"/>
          <w:sz w:val="24"/>
          <w:u w:val="none"/>
          <w14:textFill>
            <w14:solidFill>
              <w14:schemeClr w14:val="tx1"/>
            </w14:solidFill>
          </w14:textFill>
        </w:rPr>
        <w:fldChar w:fldCharType="end"/>
      </w:r>
      <w:bookmarkStart w:id="12" w:name="_Toc440348790"/>
      <w:r>
        <w:rPr>
          <w:rFonts w:ascii="宋体" w:hAnsi="宋体" w:cs="宋体"/>
          <w:color w:val="000000" w:themeColor="text1"/>
          <w:sz w:val="24"/>
          <w:u w:val="none"/>
          <w14:textFill>
            <w14:solidFill>
              <w14:schemeClr w14:val="tx1"/>
            </w14:solidFill>
          </w14:textFill>
        </w:rPr>
        <w:t>状况，提高水利服务</w:t>
      </w:r>
      <w:bookmarkEnd w:id="12"/>
      <w:r>
        <w:rPr>
          <w:rFonts w:ascii="宋体" w:hAnsi="宋体" w:cs="宋体"/>
          <w:color w:val="000000" w:themeColor="text1"/>
          <w:sz w:val="24"/>
          <w:u w:val="none"/>
          <w14:textFill>
            <w14:solidFill>
              <w14:schemeClr w14:val="tx1"/>
            </w14:solidFill>
          </w14:textFill>
        </w:rPr>
        <w:t>经</w:t>
      </w:r>
      <w:bookmarkStart w:id="13" w:name="_Toc440348791"/>
      <w:r>
        <w:rPr>
          <w:rFonts w:ascii="宋体" w:hAnsi="宋体" w:cs="宋体"/>
          <w:color w:val="000000" w:themeColor="text1"/>
          <w:sz w:val="24"/>
          <w:u w:val="none"/>
          <w14:textFill>
            <w14:solidFill>
              <w14:schemeClr w14:val="tx1"/>
            </w14:solidFill>
          </w14:textFill>
        </w:rPr>
        <w:t>济社会发</w:t>
      </w:r>
      <w:bookmarkEnd w:id="13"/>
      <w:r>
        <w:rPr>
          <w:rFonts w:ascii="宋体" w:hAnsi="宋体" w:cs="宋体"/>
          <w:color w:val="000000" w:themeColor="text1"/>
          <w:sz w:val="24"/>
          <w:u w:val="none"/>
          <w14:textFill>
            <w14:solidFill>
              <w14:schemeClr w14:val="tx1"/>
            </w14:solidFill>
          </w14:textFill>
        </w:rPr>
        <w:t>展能力，实现水资源可持续开发、利用</w:t>
      </w:r>
      <w:r>
        <w:rPr>
          <w:rFonts w:hint="eastAsia" w:ascii="宋体" w:hAnsi="宋体" w:cs="宋体"/>
          <w:color w:val="000000" w:themeColor="text1"/>
          <w:sz w:val="24"/>
          <w:u w:val="none"/>
          <w14:textFill>
            <w14:solidFill>
              <w14:schemeClr w14:val="tx1"/>
            </w14:solidFill>
          </w14:textFill>
        </w:rPr>
        <w:t>，提供了</w:t>
      </w:r>
      <w:r>
        <w:rPr>
          <w:rFonts w:ascii="宋体" w:hAnsi="宋体" w:cs="宋体"/>
          <w:color w:val="000000" w:themeColor="text1"/>
          <w:sz w:val="24"/>
          <w:u w:val="none"/>
          <w14:textFill>
            <w14:solidFill>
              <w14:schemeClr w14:val="tx1"/>
            </w14:solidFill>
          </w14:textFill>
        </w:rPr>
        <w:t>可靠的基础水信息支撑和保障</w:t>
      </w:r>
      <w:r>
        <w:rPr>
          <w:rFonts w:hint="eastAsia" w:ascii="宋体" w:hAnsi="宋体" w:cs="宋体"/>
          <w:color w:val="000000" w:themeColor="text1"/>
          <w:sz w:val="24"/>
          <w:u w:val="none"/>
          <w14:textFill>
            <w14:solidFill>
              <w14:schemeClr w14:val="tx1"/>
            </w14:solidFill>
          </w14:textFill>
        </w:rPr>
        <w:t>。在此基础上，为了获取</w:t>
      </w:r>
      <w:r>
        <w:rPr>
          <w:rFonts w:hint="eastAsia"/>
          <w:color w:val="000000" w:themeColor="text1"/>
          <w:sz w:val="24"/>
          <w:u w:val="none"/>
          <w14:textFill>
            <w14:solidFill>
              <w14:schemeClr w14:val="tx1"/>
            </w14:solidFill>
          </w14:textFill>
        </w:rPr>
        <w:t>本溪市本级河道管理</w:t>
      </w:r>
      <w:r>
        <w:rPr>
          <w:rFonts w:hint="eastAsia" w:ascii="宋体" w:hAnsi="宋体" w:cs="宋体"/>
          <w:color w:val="000000" w:themeColor="text1"/>
          <w:sz w:val="24"/>
          <w:u w:val="none"/>
          <w14:textFill>
            <w14:solidFill>
              <w14:schemeClr w14:val="tx1"/>
            </w14:solidFill>
          </w14:textFill>
        </w:rPr>
        <w:t>和水利工程划界的具体情况，按照水利部和省水利厅划界摸底调查工作通知的相关精神和要求，已完成了域内的河道和水利工程划界情况摸底调查工作</w:t>
      </w:r>
      <w:r>
        <w:rPr>
          <w:rFonts w:ascii="宋体" w:hAnsi="宋体" w:cs="宋体"/>
          <w:color w:val="000000" w:themeColor="text1"/>
          <w:sz w:val="24"/>
          <w:u w:val="none"/>
          <w14:textFill>
            <w14:solidFill>
              <w14:schemeClr w14:val="tx1"/>
            </w14:solidFill>
          </w14:textFill>
        </w:rPr>
        <w:t>，</w:t>
      </w:r>
      <w:r>
        <w:rPr>
          <w:rFonts w:hint="eastAsia" w:ascii="宋体" w:hAnsi="宋体" w:cs="宋体"/>
          <w:color w:val="000000" w:themeColor="text1"/>
          <w:sz w:val="24"/>
          <w:u w:val="none"/>
          <w14:textFill>
            <w14:solidFill>
              <w14:schemeClr w14:val="tx1"/>
            </w14:solidFill>
          </w14:textFill>
        </w:rPr>
        <w:t>掌握的相关河道划界现状，为下一步的划界工作打好了工作基础。</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综上，</w:t>
      </w:r>
      <w:r>
        <w:rPr>
          <w:rFonts w:hint="eastAsia"/>
          <w:color w:val="000000" w:themeColor="text1"/>
          <w:sz w:val="24"/>
          <w:u w:val="none"/>
          <w14:textFill>
            <w14:solidFill>
              <w14:schemeClr w14:val="tx1"/>
            </w14:solidFill>
          </w14:textFill>
        </w:rPr>
        <w:t>本溪市本级</w:t>
      </w:r>
      <w:r>
        <w:rPr>
          <w:rFonts w:hint="eastAsia" w:ascii="宋体" w:hAnsi="宋体" w:cs="宋体"/>
          <w:color w:val="000000" w:themeColor="text1"/>
          <w:sz w:val="24"/>
          <w:u w:val="none"/>
          <w14:textFill>
            <w14:solidFill>
              <w14:schemeClr w14:val="tx1"/>
            </w14:solidFill>
          </w14:textFill>
        </w:rPr>
        <w:t>河道和水利工程管理范围划界是必要的，也是可行的。</w:t>
      </w:r>
    </w:p>
    <w:p>
      <w:pPr>
        <w:pStyle w:val="2"/>
        <w:numPr>
          <w:ilvl w:val="0"/>
          <w:numId w:val="0"/>
        </w:numPr>
        <w:spacing w:before="332" w:after="332" w:line="440" w:lineRule="exact"/>
        <w:ind w:left="601"/>
        <w:rPr>
          <w:color w:val="000000" w:themeColor="text1"/>
          <w:u w:val="none"/>
          <w14:textFill>
            <w14:solidFill>
              <w14:schemeClr w14:val="tx1"/>
            </w14:solidFill>
          </w14:textFill>
        </w:rPr>
      </w:pPr>
      <w:r>
        <w:rPr>
          <w:rFonts w:eastAsia="宋体"/>
          <w:bCs w:val="0"/>
          <w:color w:val="000000" w:themeColor="text1"/>
          <w:kern w:val="2"/>
          <w:sz w:val="24"/>
          <w:szCs w:val="24"/>
          <w:u w:val="none"/>
          <w14:textFill>
            <w14:solidFill>
              <w14:schemeClr w14:val="tx1"/>
            </w14:solidFill>
          </w14:textFill>
        </w:rPr>
        <w:br w:type="page"/>
      </w:r>
      <w:bookmarkStart w:id="14" w:name="_Toc24590"/>
      <w:r>
        <w:rPr>
          <w:rFonts w:hint="eastAsia"/>
          <w:color w:val="000000" w:themeColor="text1"/>
          <w:u w:val="none"/>
          <w14:textFill>
            <w14:solidFill>
              <w14:schemeClr w14:val="tx1"/>
            </w14:solidFill>
          </w14:textFill>
        </w:rPr>
        <w:t>2、指导思想和基本原则</w:t>
      </w:r>
      <w:bookmarkEnd w:id="14"/>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15" w:name="_Toc25952"/>
      <w:r>
        <w:rPr>
          <w:rFonts w:hint="eastAsia"/>
          <w:color w:val="000000" w:themeColor="text1"/>
          <w:sz w:val="24"/>
          <w:szCs w:val="24"/>
          <w:u w:val="none"/>
          <w14:textFill>
            <w14:solidFill>
              <w14:schemeClr w14:val="tx1"/>
            </w14:solidFill>
          </w14:textFill>
        </w:rPr>
        <w:t>2.1指导思想</w:t>
      </w:r>
      <w:bookmarkEnd w:id="15"/>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按照党的十八大、十八届三中、四中全会，习近平总书记关于国家水安全战略的重要讲话精神，以及水利部门深化水利改革和加强河道管理工作的部署，针对河道及水利工程管理实际，在划界工作中，指导思想应遵循：</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ascii="宋体" w:hAnsi="宋体" w:cs="宋体"/>
          <w:color w:val="000000" w:themeColor="text1"/>
          <w:sz w:val="24"/>
          <w:u w:val="none"/>
          <w14:textFill>
            <w14:solidFill>
              <w14:schemeClr w14:val="tx1"/>
            </w14:solidFill>
          </w14:textFill>
        </w:rPr>
        <w:t>严格遵照法律法规，依法科学合理划界</w:t>
      </w:r>
      <w:r>
        <w:rPr>
          <w:rFonts w:hint="eastAsia" w:ascii="宋体" w:hAnsi="宋体" w:cs="宋体"/>
          <w:color w:val="000000" w:themeColor="text1"/>
          <w:sz w:val="24"/>
          <w:u w:val="none"/>
          <w14:textFill>
            <w14:solidFill>
              <w14:schemeClr w14:val="tx1"/>
            </w14:solidFill>
          </w14:textFill>
        </w:rPr>
        <w:t>，</w:t>
      </w:r>
      <w:r>
        <w:rPr>
          <w:rFonts w:ascii="宋体" w:hAnsi="宋体" w:cs="宋体"/>
          <w:color w:val="000000" w:themeColor="text1"/>
          <w:sz w:val="24"/>
          <w:u w:val="none"/>
          <w14:textFill>
            <w14:solidFill>
              <w14:schemeClr w14:val="tx1"/>
            </w14:solidFill>
          </w14:textFill>
        </w:rPr>
        <w:t>既要保障河道</w:t>
      </w:r>
      <w:r>
        <w:rPr>
          <w:rFonts w:hint="eastAsia" w:ascii="宋体" w:hAnsi="宋体" w:cs="宋体"/>
          <w:color w:val="000000" w:themeColor="text1"/>
          <w:sz w:val="24"/>
          <w:u w:val="none"/>
          <w14:textFill>
            <w14:solidFill>
              <w14:schemeClr w14:val="tx1"/>
            </w14:solidFill>
          </w14:textFill>
        </w:rPr>
        <w:t>和水利工程</w:t>
      </w:r>
      <w:r>
        <w:rPr>
          <w:rFonts w:ascii="宋体" w:hAnsi="宋体" w:cs="宋体"/>
          <w:color w:val="000000" w:themeColor="text1"/>
          <w:sz w:val="24"/>
          <w:u w:val="none"/>
          <w14:textFill>
            <w14:solidFill>
              <w14:schemeClr w14:val="tx1"/>
            </w14:solidFill>
          </w14:textFill>
        </w:rPr>
        <w:t>正常运行，又要保证社会稳定和河道综合效益的开发利用。</w:t>
      </w:r>
      <w:r>
        <w:rPr>
          <w:rFonts w:hint="eastAsia" w:ascii="宋体" w:hAnsi="宋体" w:cs="宋体"/>
          <w:color w:val="000000" w:themeColor="text1"/>
          <w:sz w:val="24"/>
          <w:u w:val="none"/>
          <w14:textFill>
            <w14:solidFill>
              <w14:schemeClr w14:val="tx1"/>
            </w14:solidFill>
          </w14:textFill>
        </w:rPr>
        <w:t>创造条件，推进明确管理范围内土地资源的所有权、使用权和管理权等“三权”。加强涉“水”建设项目管理和合理开发利用河道岸线资源，促进人水和谐，推进区域经济发展。</w:t>
      </w:r>
    </w:p>
    <w:p>
      <w:pPr>
        <w:pStyle w:val="3"/>
        <w:numPr>
          <w:ilvl w:val="0"/>
          <w:numId w:val="0"/>
        </w:numPr>
        <w:spacing w:beforeLines="0" w:afterLines="0" w:line="440" w:lineRule="exact"/>
        <w:ind w:left="142"/>
        <w:jc w:val="left"/>
        <w:rPr>
          <w:color w:val="000000" w:themeColor="text1"/>
          <w:sz w:val="24"/>
          <w:szCs w:val="24"/>
          <w:u w:val="none"/>
          <w14:textFill>
            <w14:solidFill>
              <w14:schemeClr w14:val="tx1"/>
            </w14:solidFill>
          </w14:textFill>
        </w:rPr>
      </w:pPr>
      <w:bookmarkStart w:id="16" w:name="_Toc14203"/>
      <w:r>
        <w:rPr>
          <w:rFonts w:hint="eastAsia"/>
          <w:color w:val="000000" w:themeColor="text1"/>
          <w:sz w:val="24"/>
          <w:szCs w:val="24"/>
          <w:u w:val="none"/>
          <w14:textFill>
            <w14:solidFill>
              <w14:schemeClr w14:val="tx1"/>
            </w14:solidFill>
          </w14:textFill>
        </w:rPr>
        <w:t>2.2基本原则</w:t>
      </w:r>
      <w:bookmarkEnd w:id="16"/>
    </w:p>
    <w:p>
      <w:pPr>
        <w:numPr>
          <w:ilvl w:val="0"/>
          <w:numId w:val="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依法依规。相关法律法规和规范性文件为依据，依法依规开展工作，合理划定河道和水利工程管理范围与保护范围。方案实施水利、国土部门牵头，相关部门配合；省级以上管理的涉河水利工程设施的划界工作由工程设施管理单位具体组织实施。各地应依据水利部有关河湖划界要求，结合本地实际，编制河湖划界工作实施方案。市直管的河道、水库（湖泊）及涉河水利工程由市组织编制，其余由县组织编制。省级以上管理的涉河水利工程设施，由管理单位制工程划界实施方案，并纳入工程属地实施方案。</w:t>
      </w:r>
    </w:p>
    <w:p>
      <w:pPr>
        <w:numPr>
          <w:ilvl w:val="0"/>
          <w:numId w:val="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统一要求，分批推进。统一确定划界的范围、标准、目标任务及实施安排，明确责任分工，落</w:t>
      </w:r>
      <w:bookmarkStart w:id="17" w:name="_Toc440348793"/>
      <w:r>
        <w:rPr>
          <w:rFonts w:hint="eastAsia"/>
          <w:color w:val="000000" w:themeColor="text1"/>
          <w:sz w:val="24"/>
          <w:u w:val="none"/>
          <w14:textFill>
            <w14:solidFill>
              <w14:schemeClr w14:val="tx1"/>
            </w14:solidFill>
          </w14:textFill>
        </w:rPr>
        <w:t>实保障措</w:t>
      </w:r>
      <w:bookmarkEnd w:id="17"/>
      <w:r>
        <w:rPr>
          <w:rFonts w:hint="eastAsia"/>
          <w:color w:val="000000" w:themeColor="text1"/>
          <w:sz w:val="24"/>
          <w:u w:val="none"/>
          <w14:textFill>
            <w14:solidFill>
              <w14:schemeClr w14:val="tx1"/>
            </w14:solidFill>
          </w14:textFill>
        </w:rPr>
        <w:t>施，规范成果</w:t>
      </w:r>
      <w:bookmarkStart w:id="18" w:name="_Toc440348794"/>
      <w:r>
        <w:rPr>
          <w:rFonts w:hint="eastAsia"/>
          <w:color w:val="000000" w:themeColor="text1"/>
          <w:sz w:val="24"/>
          <w:u w:val="none"/>
          <w14:textFill>
            <w14:solidFill>
              <w14:schemeClr w14:val="tx1"/>
            </w14:solidFill>
          </w14:textFill>
        </w:rPr>
        <w:t>应用。按</w:t>
      </w:r>
      <w:bookmarkEnd w:id="18"/>
      <w:r>
        <w:rPr>
          <w:rFonts w:hint="eastAsia"/>
          <w:color w:val="000000" w:themeColor="text1"/>
          <w:sz w:val="24"/>
          <w:u w:val="none"/>
          <w14:textFill>
            <w14:solidFill>
              <w14:schemeClr w14:val="tx1"/>
            </w14:solidFill>
          </w14:textFill>
        </w:rPr>
        <w:t>时间节点和时序进度控制要求分批推进。工作应先易后难、轻重缓急，以管理任务重、涉水事务多、地位和作用较为重要的河道和水利工程为重点开展工作。按要求分两个年度进行。</w:t>
      </w:r>
    </w:p>
    <w:p>
      <w:pPr>
        <w:numPr>
          <w:ilvl w:val="0"/>
          <w:numId w:val="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成果共享，注重运</w:t>
      </w:r>
      <w:bookmarkStart w:id="19" w:name="_Toc440348795"/>
      <w:r>
        <w:rPr>
          <w:rFonts w:hint="eastAsia"/>
          <w:color w:val="000000" w:themeColor="text1"/>
          <w:sz w:val="24"/>
          <w:u w:val="none"/>
          <w14:textFill>
            <w14:solidFill>
              <w14:schemeClr w14:val="tx1"/>
            </w14:solidFill>
          </w14:textFill>
        </w:rPr>
        <w:t>用。推进信息化建设，建立信</w:t>
      </w:r>
      <w:bookmarkEnd w:id="19"/>
      <w:r>
        <w:rPr>
          <w:rFonts w:hint="eastAsia"/>
          <w:color w:val="000000" w:themeColor="text1"/>
          <w:sz w:val="24"/>
          <w:u w:val="none"/>
          <w14:textFill>
            <w14:solidFill>
              <w14:schemeClr w14:val="tx1"/>
            </w14:solidFill>
          </w14:textFill>
        </w:rPr>
        <w:t>息共享系统，加强数据共享和具体管理工作衔接，做好成果与土地利用总体规划、城乡总体规划等相关规划管理的对接，并将成果纳入相关部门日常管理工作中。</w:t>
      </w:r>
    </w:p>
    <w:p>
      <w:pPr>
        <w:pStyle w:val="2"/>
        <w:numPr>
          <w:ilvl w:val="0"/>
          <w:numId w:val="6"/>
        </w:numPr>
        <w:spacing w:beforeLines="0" w:afterLines="0" w:line="440" w:lineRule="exact"/>
        <w:ind w:left="0" w:firstLine="60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br w:type="page"/>
      </w:r>
      <w:bookmarkStart w:id="20" w:name="_Toc24676"/>
      <w:r>
        <w:rPr>
          <w:rFonts w:hint="eastAsia"/>
          <w:color w:val="000000" w:themeColor="text1"/>
          <w:u w:val="none"/>
          <w14:textFill>
            <w14:solidFill>
              <w14:schemeClr w14:val="tx1"/>
            </w14:solidFill>
          </w14:textFill>
        </w:rPr>
        <w:t>目标和任务要求</w:t>
      </w:r>
      <w:bookmarkEnd w:id="20"/>
      <w:bookmarkStart w:id="21" w:name="_Toc517440883"/>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22" w:name="_Toc30639"/>
      <w:r>
        <w:rPr>
          <w:rFonts w:hint="eastAsia"/>
          <w:color w:val="000000" w:themeColor="text1"/>
          <w:sz w:val="24"/>
          <w:szCs w:val="24"/>
          <w:u w:val="none"/>
          <w14:textFill>
            <w14:solidFill>
              <w14:schemeClr w14:val="tx1"/>
            </w14:solidFill>
          </w14:textFill>
        </w:rPr>
        <w:t>3.1</w:t>
      </w:r>
      <w:bookmarkEnd w:id="21"/>
      <w:r>
        <w:rPr>
          <w:rFonts w:hint="eastAsia"/>
          <w:color w:val="000000" w:themeColor="text1"/>
          <w:sz w:val="24"/>
          <w:szCs w:val="24"/>
          <w:u w:val="none"/>
          <w14:textFill>
            <w14:solidFill>
              <w14:schemeClr w14:val="tx1"/>
            </w14:solidFill>
          </w14:textFill>
        </w:rPr>
        <w:t>总体目标</w:t>
      </w:r>
      <w:bookmarkEnd w:id="22"/>
    </w:p>
    <w:p>
      <w:pPr>
        <w:pStyle w:val="6"/>
        <w:adjustRightInd w:val="0"/>
        <w:snapToGrid w:val="0"/>
        <w:spacing w:line="440" w:lineRule="exact"/>
        <w:ind w:firstLine="480" w:firstLineChars="200"/>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按照“依法依规、功能保障；全面划界；政府牵头、落实责任；统一要求、分批推进；成果共享、注重运用”的要求，有序推进划界工作开展。水利、国土等相关部门共同做好划界成果信息平台构建、数据共</w:t>
      </w:r>
      <w:bookmarkStart w:id="23" w:name="_Toc440348797"/>
      <w:r>
        <w:rPr>
          <w:rFonts w:hint="eastAsia" w:ascii="宋体" w:hAnsi="宋体" w:cs="宋体"/>
          <w:color w:val="000000" w:themeColor="text1"/>
          <w:sz w:val="24"/>
          <w:u w:val="none"/>
          <w14:textFill>
            <w14:solidFill>
              <w14:schemeClr w14:val="tx1"/>
            </w14:solidFill>
          </w14:textFill>
        </w:rPr>
        <w:t>享和具体管理工作衔</w:t>
      </w:r>
      <w:bookmarkEnd w:id="23"/>
      <w:r>
        <w:rPr>
          <w:rFonts w:hint="eastAsia" w:ascii="宋体" w:hAnsi="宋体" w:cs="宋体"/>
          <w:color w:val="000000" w:themeColor="text1"/>
          <w:sz w:val="24"/>
          <w:u w:val="none"/>
          <w14:textFill>
            <w14:solidFill>
              <w14:schemeClr w14:val="tx1"/>
            </w14:solidFill>
          </w14:textFill>
        </w:rPr>
        <w:t>接</w:t>
      </w:r>
      <w:bookmarkStart w:id="24" w:name="_Toc440348798"/>
      <w:r>
        <w:rPr>
          <w:rFonts w:hint="eastAsia" w:ascii="宋体" w:hAnsi="宋体" w:cs="宋体"/>
          <w:color w:val="000000" w:themeColor="text1"/>
          <w:sz w:val="24"/>
          <w:u w:val="none"/>
          <w14:textFill>
            <w14:solidFill>
              <w14:schemeClr w14:val="tx1"/>
            </w14:solidFill>
          </w14:textFill>
        </w:rPr>
        <w:t>。</w:t>
      </w:r>
      <w:r>
        <w:rPr>
          <w:rFonts w:hint="eastAsia" w:ascii="宋体" w:hAnsi="宋体" w:cs="黑体"/>
          <w:color w:val="000000" w:themeColor="text1"/>
          <w:kern w:val="0"/>
          <w:sz w:val="24"/>
          <w:u w:val="none"/>
          <w14:textFill>
            <w14:solidFill>
              <w14:schemeClr w14:val="tx1"/>
            </w14:solidFill>
          </w14:textFill>
        </w:rPr>
        <w:t>在2020</w:t>
      </w:r>
      <w:bookmarkEnd w:id="24"/>
      <w:r>
        <w:rPr>
          <w:rFonts w:hint="eastAsia" w:ascii="宋体" w:hAnsi="宋体" w:cs="黑体"/>
          <w:color w:val="000000" w:themeColor="text1"/>
          <w:kern w:val="0"/>
          <w:sz w:val="24"/>
          <w:u w:val="none"/>
          <w14:textFill>
            <w14:solidFill>
              <w14:schemeClr w14:val="tx1"/>
            </w14:solidFill>
          </w14:textFill>
        </w:rPr>
        <w:t>年</w:t>
      </w:r>
      <w:bookmarkStart w:id="25" w:name="_Toc440348799"/>
      <w:r>
        <w:rPr>
          <w:rFonts w:hint="eastAsia" w:ascii="宋体" w:hAnsi="宋体" w:cs="黑体"/>
          <w:color w:val="000000" w:themeColor="text1"/>
          <w:kern w:val="0"/>
          <w:sz w:val="24"/>
          <w:u w:val="none"/>
          <w14:textFill>
            <w14:solidFill>
              <w14:schemeClr w14:val="tx1"/>
            </w14:solidFill>
          </w14:textFill>
        </w:rPr>
        <w:t>底</w:t>
      </w:r>
      <w:r>
        <w:rPr>
          <w:rFonts w:hint="eastAsia"/>
          <w:color w:val="000000" w:themeColor="text1"/>
          <w:sz w:val="24"/>
          <w:u w:val="none"/>
          <w14:textFill>
            <w14:solidFill>
              <w14:schemeClr w14:val="tx1"/>
            </w14:solidFill>
          </w14:textFill>
        </w:rPr>
        <w:t>基本完成河湖管理范围水利工程管理保护范围划界</w:t>
      </w:r>
      <w:bookmarkEnd w:id="25"/>
      <w:r>
        <w:rPr>
          <w:rFonts w:hint="eastAsia" w:ascii="宋体" w:hAnsi="宋体" w:cs="宋体"/>
          <w:color w:val="000000" w:themeColor="text1"/>
          <w:sz w:val="24"/>
          <w:u w:val="none"/>
          <w14:textFill>
            <w14:solidFill>
              <w14:schemeClr w14:val="tx1"/>
            </w14:solidFill>
          </w14:textFill>
        </w:rPr>
        <w:t>并建立管理系统。</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按照法律法规和管理要求，划定河道和水利工程管理范围线，明确管理界线、设立界桩标志。形成基础数据库，为建立范围明确、权属清晰、责任落实的河道管理责任体系打好基础。</w:t>
      </w:r>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26" w:name="_Toc27816"/>
      <w:r>
        <w:rPr>
          <w:rFonts w:hint="eastAsia"/>
          <w:color w:val="000000" w:themeColor="text1"/>
          <w:sz w:val="24"/>
          <w:szCs w:val="24"/>
          <w:u w:val="none"/>
          <w14:textFill>
            <w14:solidFill>
              <w14:schemeClr w14:val="tx1"/>
            </w14:solidFill>
          </w14:textFill>
        </w:rPr>
        <w:t>3.2划界范围</w:t>
      </w:r>
      <w:bookmarkEnd w:id="26"/>
    </w:p>
    <w:p>
      <w:pPr>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本溪市本级河道和水利工程管理范围</w:t>
      </w:r>
      <w:r>
        <w:rPr>
          <w:rFonts w:hint="eastAsia" w:ascii="Times New Roman" w:hAnsi="Times New Roman"/>
          <w:color w:val="000000" w:themeColor="text1"/>
          <w:sz w:val="24"/>
          <w:u w:val="none"/>
          <w14:textFill>
            <w14:solidFill>
              <w14:schemeClr w14:val="tx1"/>
            </w14:solidFill>
          </w14:textFill>
        </w:rPr>
        <w:t>划定一共有两条河，分别为太子河和细河</w:t>
      </w:r>
      <w:r>
        <w:rPr>
          <w:rFonts w:hint="eastAsia"/>
          <w:color w:val="000000" w:themeColor="text1"/>
          <w:sz w:val="24"/>
          <w:u w:val="none"/>
          <w14:textFill>
            <w14:solidFill>
              <w14:schemeClr w14:val="tx1"/>
            </w14:solidFill>
          </w14:textFill>
        </w:rPr>
        <w:t>。太子河为</w:t>
      </w:r>
      <w:r>
        <w:rPr>
          <w:rFonts w:hint="eastAsia" w:ascii="Times New Roman" w:hAnsi="Times New Roman"/>
          <w:color w:val="000000" w:themeColor="text1"/>
          <w:sz w:val="24"/>
          <w:u w:val="none"/>
          <w14:textFill>
            <w14:solidFill>
              <w14:schemeClr w14:val="tx1"/>
            </w14:solidFill>
          </w14:textFill>
        </w:rPr>
        <w:t>观音阁水库坝下～</w:t>
      </w:r>
      <w:r>
        <w:rPr>
          <w:rFonts w:hint="eastAsia"/>
          <w:color w:val="000000" w:themeColor="text1"/>
          <w:sz w:val="24"/>
          <w:u w:val="none"/>
          <w14:textFill>
            <w14:solidFill>
              <w14:schemeClr w14:val="tx1"/>
            </w14:solidFill>
          </w14:textFill>
        </w:rPr>
        <w:t>老和尚洞，河道长度为80km，划界长度为160km；</w:t>
      </w:r>
      <w:r>
        <w:rPr>
          <w:rFonts w:hint="eastAsia" w:ascii="Times New Roman" w:hAnsi="Times New Roman"/>
          <w:color w:val="000000" w:themeColor="text1"/>
          <w:sz w:val="24"/>
          <w:u w:val="none"/>
          <w14:textFill>
            <w14:solidFill>
              <w14:schemeClr w14:val="tx1"/>
            </w14:solidFill>
          </w14:textFill>
        </w:rPr>
        <w:t>连山关镇中河村～北台街道办事处毛家崴子村，</w:t>
      </w:r>
      <w:r>
        <w:rPr>
          <w:rFonts w:hint="eastAsia"/>
          <w:color w:val="000000" w:themeColor="text1"/>
          <w:sz w:val="24"/>
          <w:u w:val="none"/>
          <w14:textFill>
            <w14:solidFill>
              <w14:schemeClr w14:val="tx1"/>
            </w14:solidFill>
          </w14:textFill>
        </w:rPr>
        <w:t>河道长度为85km，划界长度为170km</w:t>
      </w:r>
      <w:r>
        <w:rPr>
          <w:rFonts w:hint="eastAsia" w:ascii="Times New Roman" w:hAnsi="Times New Roman"/>
          <w:color w:val="000000" w:themeColor="text1"/>
          <w:sz w:val="24"/>
          <w:u w:val="none"/>
          <w14:textFill>
            <w14:solidFill>
              <w14:schemeClr w14:val="tx1"/>
            </w14:solidFill>
          </w14:textFill>
        </w:rPr>
        <w:t>。结</w:t>
      </w:r>
      <w:r>
        <w:rPr>
          <w:rFonts w:hint="eastAsia" w:ascii="宋体" w:hAnsi="宋体" w:cs="宋体"/>
          <w:color w:val="000000" w:themeColor="text1"/>
          <w:sz w:val="24"/>
          <w:u w:val="none"/>
          <w14:textFill>
            <w14:solidFill>
              <w14:schemeClr w14:val="tx1"/>
            </w14:solidFill>
          </w14:textFill>
        </w:rPr>
        <w:t>合</w:t>
      </w:r>
      <w:r>
        <w:rPr>
          <w:rFonts w:hint="eastAsia"/>
          <w:color w:val="000000" w:themeColor="text1"/>
          <w:sz w:val="24"/>
          <w:u w:val="none"/>
          <w14:textFill>
            <w14:solidFill>
              <w14:schemeClr w14:val="tx1"/>
            </w14:solidFill>
          </w14:textFill>
        </w:rPr>
        <w:t>本溪市本级河道管理</w:t>
      </w:r>
      <w:r>
        <w:rPr>
          <w:rFonts w:hint="eastAsia" w:ascii="宋体" w:hAnsi="宋体" w:cs="宋体"/>
          <w:color w:val="000000" w:themeColor="text1"/>
          <w:sz w:val="24"/>
          <w:u w:val="none"/>
          <w14:textFill>
            <w14:solidFill>
              <w14:schemeClr w14:val="tx1"/>
            </w14:solidFill>
          </w14:textFill>
        </w:rPr>
        <w:t>实际情况，设定的划界阶段目标和任务为：</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①2018年底前完成太子河本溪市城区段的管理</w:t>
      </w:r>
      <w:r>
        <w:rPr>
          <w:rFonts w:hint="eastAsia" w:ascii="Times New Roman" w:hAnsi="Times New Roman"/>
          <w:color w:val="000000" w:themeColor="text1"/>
          <w:sz w:val="24"/>
          <w:u w:val="none"/>
          <w14:textFill>
            <w14:solidFill>
              <w14:schemeClr w14:val="tx1"/>
            </w14:solidFill>
          </w14:textFill>
        </w:rPr>
        <w:t>范围划定</w:t>
      </w:r>
      <w:r>
        <w:rPr>
          <w:rFonts w:hint="eastAsia"/>
          <w:color w:val="000000" w:themeColor="text1"/>
          <w:sz w:val="24"/>
          <w:u w:val="none"/>
          <w14:textFill>
            <w14:solidFill>
              <w14:schemeClr w14:val="tx1"/>
            </w14:solidFill>
          </w14:textFill>
        </w:rPr>
        <w:t>，河道长度为26.85km，划界长度为53.70km；</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②2020年底前完成太子河剩余段和细河的管理</w:t>
      </w:r>
      <w:r>
        <w:rPr>
          <w:rFonts w:hint="eastAsia" w:ascii="Times New Roman" w:hAnsi="Times New Roman"/>
          <w:color w:val="000000" w:themeColor="text1"/>
          <w:sz w:val="24"/>
          <w:u w:val="none"/>
          <w14:textFill>
            <w14:solidFill>
              <w14:schemeClr w14:val="tx1"/>
            </w14:solidFill>
          </w14:textFill>
        </w:rPr>
        <w:t>范围划定</w:t>
      </w:r>
      <w:r>
        <w:rPr>
          <w:rFonts w:hint="eastAsia"/>
          <w:color w:val="000000" w:themeColor="text1"/>
          <w:sz w:val="24"/>
          <w:u w:val="none"/>
          <w14:textFill>
            <w14:solidFill>
              <w14:schemeClr w14:val="tx1"/>
            </w14:solidFill>
          </w14:textFill>
        </w:rPr>
        <w:t>，河道长度为138.50km，划界长度为277.00km</w:t>
      </w:r>
      <w:r>
        <w:rPr>
          <w:rFonts w:hint="eastAsia" w:ascii="宋体" w:hAnsi="宋体" w:cs="宋体"/>
          <w:color w:val="000000" w:themeColor="text1"/>
          <w:kern w:val="0"/>
          <w:sz w:val="24"/>
          <w:u w:val="none"/>
          <w14:textFill>
            <w14:solidFill>
              <w14:schemeClr w14:val="tx1"/>
            </w14:solidFill>
          </w14:textFill>
        </w:rPr>
        <w:t>。</w:t>
      </w:r>
    </w:p>
    <w:p>
      <w:p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完成年度阶段任务后，经</w:t>
      </w:r>
      <w:r>
        <w:rPr>
          <w:rFonts w:hint="eastAsia"/>
          <w:color w:val="000000" w:themeColor="text1"/>
          <w:sz w:val="24"/>
          <w:u w:val="none"/>
          <w14:textFill>
            <w14:solidFill>
              <w14:schemeClr w14:val="tx1"/>
            </w14:solidFill>
          </w14:textFill>
        </w:rPr>
        <w:t>水利国土</w:t>
      </w:r>
      <w:r>
        <w:rPr>
          <w:rFonts w:hint="eastAsia" w:ascii="宋体" w:hAnsi="宋体" w:cs="宋体"/>
          <w:color w:val="000000" w:themeColor="text1"/>
          <w:sz w:val="24"/>
          <w:u w:val="none"/>
          <w14:textFill>
            <w14:solidFill>
              <w14:schemeClr w14:val="tx1"/>
            </w14:solidFill>
          </w14:textFill>
        </w:rPr>
        <w:t>牵头组织各个相关部门考核验收，由本溪市人民政府对河道和水利工程管理范围进行公告。</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p>
    <w:p>
      <w:pPr>
        <w:pStyle w:val="2"/>
        <w:numPr>
          <w:ilvl w:val="0"/>
          <w:numId w:val="0"/>
        </w:numPr>
        <w:spacing w:beforeLines="0" w:afterLines="0" w:line="440" w:lineRule="exact"/>
        <w:ind w:left="480"/>
        <w:rPr>
          <w:b/>
          <w:color w:val="000000" w:themeColor="text1"/>
          <w:szCs w:val="30"/>
          <w:u w:val="none"/>
          <w14:textFill>
            <w14:solidFill>
              <w14:schemeClr w14:val="tx1"/>
            </w14:solidFill>
          </w14:textFill>
        </w:rPr>
      </w:pPr>
      <w:r>
        <w:rPr>
          <w:rFonts w:ascii="宋体" w:hAnsi="宋体" w:cs="宋体"/>
          <w:color w:val="000000" w:themeColor="text1"/>
          <w:sz w:val="24"/>
          <w:u w:val="none"/>
          <w14:textFill>
            <w14:solidFill>
              <w14:schemeClr w14:val="tx1"/>
            </w14:solidFill>
          </w14:textFill>
        </w:rPr>
        <w:br w:type="page"/>
      </w:r>
      <w:bookmarkStart w:id="27" w:name="_Toc19041"/>
      <w:r>
        <w:rPr>
          <w:rFonts w:hint="eastAsia" w:ascii="宋体" w:hAnsi="宋体" w:cs="宋体"/>
          <w:b/>
          <w:color w:val="000000" w:themeColor="text1"/>
          <w:szCs w:val="30"/>
          <w:u w:val="none"/>
          <w14:textFill>
            <w14:solidFill>
              <w14:schemeClr w14:val="tx1"/>
            </w14:solidFill>
          </w14:textFill>
        </w:rPr>
        <w:t>4、</w:t>
      </w:r>
      <w:r>
        <w:rPr>
          <w:rFonts w:hint="eastAsia"/>
          <w:b/>
          <w:color w:val="000000" w:themeColor="text1"/>
          <w:szCs w:val="30"/>
          <w:u w:val="none"/>
          <w14:textFill>
            <w14:solidFill>
              <w14:schemeClr w14:val="tx1"/>
            </w14:solidFill>
          </w14:textFill>
        </w:rPr>
        <w:t>划界依据和标准</w:t>
      </w:r>
      <w:bookmarkEnd w:id="27"/>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28" w:name="_Toc29627"/>
      <w:r>
        <w:rPr>
          <w:rFonts w:hint="eastAsia"/>
          <w:color w:val="000000" w:themeColor="text1"/>
          <w:sz w:val="24"/>
          <w:szCs w:val="24"/>
          <w:u w:val="none"/>
          <w14:textFill>
            <w14:solidFill>
              <w14:schemeClr w14:val="tx1"/>
            </w14:solidFill>
          </w14:textFill>
        </w:rPr>
        <w:t>4.1划界依据</w:t>
      </w:r>
      <w:bookmarkEnd w:id="28"/>
    </w:p>
    <w:p>
      <w:pPr>
        <w:spacing w:line="440" w:lineRule="exac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4.1.1法律法规及国家有关文件</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 《中华人民共和国水法》</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2 《中华人民共和国土地管理法》</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3 《中华人民共和国防洪法》</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 《中华人民共和国河道管理条例</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 《水库大坝安全管理条例》</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6 《中华人民共和国水文条例》</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7 《辽宁省水文条例》</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8 《中共中央办公厅国务院办公厅印发（关于全面推行河长制的意见〉的通知》（厅字（2016）42号）</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9《水利部环境保护部关于印发贯彻落实〈关于全面推行河长制的意见）实施方案的函》</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10《水利部关于开展河道和水利工程管理范围和水利工程管理与保护范围划定的通知》（水建管［2014]285号）</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11.辽宁省河湖管理与保护范围划定通则</w:t>
      </w:r>
    </w:p>
    <w:p>
      <w:pPr>
        <w:spacing w:line="440" w:lineRule="exac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4.1.2辽宁省相关文件</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 《 辽宁省人民政府办公厅关于印发辽宁省实施河长制工作方案的通知》（辽政办发（2017）30号）</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2 《中共辽宁省委办公厅 辽宁省人民政府办公厅关于设立四级总河长、河长和设置三级河长制办公室有关事项的通知》（辽委办发（2017)40号）</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3 《辽宁省人民政府办公厅转发省水利厅、土地局关于对已建成水利工程划定管理、保护范围意见的通知》（辽政办发（1994)13号）</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 《辽宁省人民政府办公厅关于开展辽河干流河滩地确权和违章建筑清理工作的通知（辽政办明电（2010)69号）</w:t>
      </w:r>
    </w:p>
    <w:p>
      <w:pPr>
        <w:spacing w:line="440" w:lineRule="exac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4.1.3三有关技术规范、技术标准</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 《防洪标准》（GB50201－2014）</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2 《堤防工程设计规范》（GB50286－2013）</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3 《堤防工程管理设计规范》（SL171－96）</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 《水库工程管理设计规范》（SL106－2017）</w:t>
      </w:r>
    </w:p>
    <w:p>
      <w:pPr>
        <w:spacing w:line="44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 《水闸工程管理设计规范》（SL－170－96）</w:t>
      </w:r>
    </w:p>
    <w:p>
      <w:pPr>
        <w:tabs>
          <w:tab w:val="left" w:pos="0"/>
        </w:tabs>
        <w:spacing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4.1.4有关资料</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地形图资料。1:2000地形图；</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水利工程设计、批复文件中河道、堤防等与划界相关的内容，竣工验收资料等；</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防洪规划、水资源综合规划、水环境功能区划、水系规划等相关规划；</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《辽宁省河湖管理与保护范围划定通则》；</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其他各类专题资料，水系图、权属资料等；</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辽河流域防洪规划（水利部东北勘测设计研究院2008年）；</w:t>
      </w:r>
    </w:p>
    <w:p>
      <w:pPr>
        <w:numPr>
          <w:ilvl w:val="0"/>
          <w:numId w:val="7"/>
        </w:num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太子河（含大辽河）综合整治工程可行性研究报告（水规总院审查会议纪要，2014年）；</w:t>
      </w:r>
    </w:p>
    <w:p>
      <w:pPr>
        <w:numPr>
          <w:ilvl w:val="0"/>
          <w:numId w:val="7"/>
        </w:numPr>
        <w:spacing w:beforeLines="0" w:afterLines="0" w:line="440" w:lineRule="exact"/>
        <w:ind w:firstLine="480" w:firstLineChars="200"/>
        <w:jc w:val="left"/>
        <w:rPr>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太子河（含大辽河）防洪治理工程可行性研究报告（水利厅审核和造价中心审查意见2016年）</w:t>
      </w:r>
      <w:r>
        <w:rPr>
          <w:rFonts w:hint="eastAsia"/>
          <w:color w:val="000000" w:themeColor="text1"/>
          <w:sz w:val="24"/>
          <w:u w:val="none"/>
          <w14:textFill>
            <w14:solidFill>
              <w14:schemeClr w14:val="tx1"/>
            </w14:solidFill>
          </w14:textFill>
        </w:rPr>
        <w:t>。</w:t>
      </w:r>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29" w:name="_Toc1739"/>
      <w:r>
        <w:rPr>
          <w:rFonts w:hint="eastAsia"/>
          <w:color w:val="000000" w:themeColor="text1"/>
          <w:sz w:val="24"/>
          <w:szCs w:val="24"/>
          <w:u w:val="none"/>
          <w14:textFill>
            <w14:solidFill>
              <w14:schemeClr w14:val="tx1"/>
            </w14:solidFill>
          </w14:textFill>
        </w:rPr>
        <w:t>4.2划界标准</w:t>
      </w:r>
      <w:bookmarkEnd w:id="29"/>
    </w:p>
    <w:p>
      <w:pPr>
        <w:widowControl/>
        <w:adjustRightInd w:val="0"/>
        <w:snapToGrid w:val="0"/>
        <w:spacing w:line="440" w:lineRule="exact"/>
        <w:jc w:val="left"/>
        <w:rPr>
          <w:rFonts w:ascii="宋体" w:hAnsi="宋体"/>
          <w:color w:val="000000" w:themeColor="text1"/>
          <w:kern w:val="0"/>
          <w:sz w:val="24"/>
          <w:u w:val="none"/>
          <w14:textFill>
            <w14:solidFill>
              <w14:schemeClr w14:val="tx1"/>
            </w14:solidFill>
          </w14:textFill>
        </w:rPr>
      </w:pPr>
      <w:r>
        <w:rPr>
          <w:rFonts w:hint="eastAsia"/>
          <w:color w:val="000000" w:themeColor="text1"/>
          <w:sz w:val="24"/>
          <w:u w:val="none"/>
          <w14:textFill>
            <w14:solidFill>
              <w14:schemeClr w14:val="tx1"/>
            </w14:solidFill>
          </w14:textFill>
        </w:rPr>
        <w:t>4.2.1</w:t>
      </w:r>
      <w:r>
        <w:rPr>
          <w:rFonts w:hint="eastAsia" w:ascii="宋体" w:hAnsi="宋体"/>
          <w:color w:val="000000" w:themeColor="text1"/>
          <w:kern w:val="0"/>
          <w:sz w:val="24"/>
          <w:u w:val="none"/>
          <w14:textFill>
            <w14:solidFill>
              <w14:schemeClr w14:val="tx1"/>
            </w14:solidFill>
          </w14:textFill>
        </w:rPr>
        <w:t>河道控制线的定义及划分原则</w:t>
      </w:r>
    </w:p>
    <w:p>
      <w:pPr>
        <w:widowControl/>
        <w:adjustRightInd w:val="0"/>
        <w:snapToGrid w:val="0"/>
        <w:spacing w:line="440" w:lineRule="exact"/>
        <w:ind w:firstLine="480" w:firstLineChars="200"/>
        <w:jc w:val="left"/>
        <w:rPr>
          <w:rFonts w:ascii="宋体" w:hAnsi="宋体"/>
          <w:color w:val="000000" w:themeColor="text1"/>
          <w:kern w:val="0"/>
          <w:sz w:val="24"/>
          <w:u w:val="none"/>
          <w14:textFill>
            <w14:solidFill>
              <w14:schemeClr w14:val="tx1"/>
            </w14:solidFill>
          </w14:textFill>
        </w:rPr>
      </w:pPr>
      <w:r>
        <w:rPr>
          <w:rFonts w:hint="eastAsia" w:ascii="宋体" w:hAnsi="宋体"/>
          <w:color w:val="000000" w:themeColor="text1"/>
          <w:kern w:val="0"/>
          <w:sz w:val="24"/>
          <w:u w:val="none"/>
          <w14:textFill>
            <w14:solidFill>
              <w14:schemeClr w14:val="tx1"/>
            </w14:solidFill>
          </w14:textFill>
        </w:rPr>
        <w:t>根据辽宁省河长制办公室关于印发《辽宁省河湖管理与保护范围划定通则的通知》可知，</w:t>
      </w:r>
      <w:r>
        <w:rPr>
          <w:rFonts w:ascii="宋体" w:hAnsi="宋体"/>
          <w:color w:val="000000" w:themeColor="text1"/>
          <w:kern w:val="0"/>
          <w:sz w:val="24"/>
          <w:u w:val="none"/>
          <w14:textFill>
            <w14:solidFill>
              <w14:schemeClr w14:val="tx1"/>
            </w14:solidFill>
          </w14:textFill>
        </w:rPr>
        <w:t>河道外缘控制线是指</w:t>
      </w:r>
      <w:r>
        <w:rPr>
          <w:rFonts w:hint="eastAsia" w:ascii="宋体" w:hAnsi="宋体"/>
          <w:color w:val="000000" w:themeColor="text1"/>
          <w:kern w:val="0"/>
          <w:sz w:val="24"/>
          <w:u w:val="none"/>
          <w14:textFill>
            <w14:solidFill>
              <w14:schemeClr w14:val="tx1"/>
            </w14:solidFill>
          </w14:textFill>
        </w:rPr>
        <w:t>河道</w:t>
      </w:r>
      <w:r>
        <w:rPr>
          <w:rFonts w:ascii="宋体" w:hAnsi="宋体"/>
          <w:color w:val="000000" w:themeColor="text1"/>
          <w:kern w:val="0"/>
          <w:sz w:val="24"/>
          <w:u w:val="none"/>
          <w14:textFill>
            <w14:solidFill>
              <w14:schemeClr w14:val="tx1"/>
            </w14:solidFill>
          </w14:textFill>
        </w:rPr>
        <w:t>管理的外缘边界线，一般以河（湖）堤防工程背水侧管理范围的外边线作为外缘控制线，对无堤段河道以设计洪水位与岸边的交界线作为外缘控制线。具体划定要求如下：</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有堤防河道（含已有批准规划、设计文件的），其管理范围为两岸堤防之间的水域、沙洲、滩地（包括可耕地）、行洪区，两岸堤防及护堤地。太子河设计洪水标准为本溪市城区段为100年~200年一遇。堤防等级为1级，护堤地宽度按照堤防设计规范，取下限为20m；太子河本溪县及本溪县农村段，设计洪水标准为20年~50年一遇，堤防等级为4级~2级，护堤地宽度按照堤防设计规范，取下限为5m~10m；细河本溪市段设计洪水标准为10年~20年一遇，护堤地宽度按照堤防设计规范，取下限为5m.。</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2、无堤防的山丘区河道，管理范围为设计洪水位与山丘体交线之间的水域、沙洲、滩地（包括可耕地）、行洪区等。</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3、无堤防、无规划设计的河道，按照满足河道行洪和管理保护要求，根据自然岸坎线外延一定范围划定；有重点保护对象的，按照其设防标准对应的洪水位划定。</w:t>
      </w:r>
    </w:p>
    <w:p>
      <w:pPr>
        <w:widowControl/>
        <w:adjustRightInd w:val="0"/>
        <w:snapToGrid w:val="0"/>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4.2.2水文站</w:t>
      </w:r>
      <w:r>
        <w:rPr>
          <w:rFonts w:hint="eastAsia" w:ascii="宋体" w:hAnsi="宋体"/>
          <w:color w:val="000000" w:themeColor="text1"/>
          <w:kern w:val="0"/>
          <w:sz w:val="24"/>
          <w:u w:val="none"/>
          <w14:textFill>
            <w14:solidFill>
              <w14:schemeClr w14:val="tx1"/>
            </w14:solidFill>
          </w14:textFill>
        </w:rPr>
        <w:t>控制线的定义及划分原则</w:t>
      </w:r>
    </w:p>
    <w:p>
      <w:pPr>
        <w:widowControl/>
        <w:adjustRightInd w:val="0"/>
        <w:snapToGrid w:val="0"/>
        <w:spacing w:line="440" w:lineRule="exact"/>
        <w:ind w:firstLine="480" w:firstLineChars="200"/>
        <w:jc w:val="left"/>
        <w:rPr>
          <w:rFonts w:ascii="宋体" w:hAnsi="宋体"/>
          <w:color w:val="000000" w:themeColor="text1"/>
          <w:kern w:val="0"/>
          <w:sz w:val="24"/>
          <w:u w:val="none"/>
          <w14:textFill>
            <w14:solidFill>
              <w14:schemeClr w14:val="tx1"/>
            </w14:solidFill>
          </w14:textFill>
        </w:rPr>
      </w:pPr>
      <w:r>
        <w:rPr>
          <w:rFonts w:hint="eastAsia" w:ascii="宋体" w:hAnsi="宋体"/>
          <w:color w:val="000000" w:themeColor="text1"/>
          <w:kern w:val="0"/>
          <w:sz w:val="24"/>
          <w:u w:val="none"/>
          <w14:textFill>
            <w14:solidFill>
              <w14:schemeClr w14:val="tx1"/>
            </w14:solidFill>
          </w14:textFill>
        </w:rPr>
        <w:t>依据《关于对已建成水利工程划定管理、保护范围的意见》（辽政办法[1994]33号）相关规定，将水文测站的管理范围划定为:</w:t>
      </w:r>
    </w:p>
    <w:p>
      <w:pPr>
        <w:widowControl/>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ascii="宋体" w:hAnsi="宋体"/>
          <w:color w:val="000000" w:themeColor="text1"/>
          <w:kern w:val="0"/>
          <w:sz w:val="24"/>
          <w:u w:val="none"/>
          <w14:textFill>
            <w14:solidFill>
              <w14:schemeClr w14:val="tx1"/>
            </w14:solidFill>
          </w14:textFill>
        </w:rPr>
        <w:t>各观测断面及投浮索断面，从中线向上、下各5米，自记水位台、汛房等由周边外延5米；横向边界至堤顶内测或相当于历史最大洪水位。</w:t>
      </w:r>
    </w:p>
    <w:p>
      <w:pPr>
        <w:widowControl/>
        <w:tabs>
          <w:tab w:val="left" w:pos="0"/>
        </w:tabs>
        <w:adjustRightInd w:val="0"/>
        <w:snapToGrid w:val="0"/>
        <w:spacing w:line="440" w:lineRule="exact"/>
        <w:jc w:val="left"/>
        <w:rPr>
          <w:rFonts w:ascii="宋体" w:hAnsi="宋体"/>
          <w:color w:val="000000" w:themeColor="text1"/>
          <w:kern w:val="0"/>
          <w:sz w:val="24"/>
          <w:u w:val="none"/>
          <w14:textFill>
            <w14:solidFill>
              <w14:schemeClr w14:val="tx1"/>
            </w14:solidFill>
          </w14:textFill>
        </w:rPr>
      </w:pPr>
      <w:r>
        <w:rPr>
          <w:rFonts w:hint="eastAsia"/>
          <w:color w:val="000000" w:themeColor="text1"/>
          <w:sz w:val="24"/>
          <w:u w:val="none"/>
          <w14:textFill>
            <w14:solidFill>
              <w14:schemeClr w14:val="tx1"/>
            </w14:solidFill>
          </w14:textFill>
        </w:rPr>
        <w:t>4.2.3</w:t>
      </w:r>
      <w:r>
        <w:rPr>
          <w:rFonts w:hint="eastAsia" w:ascii="宋体" w:hAnsi="宋体"/>
          <w:color w:val="000000" w:themeColor="text1"/>
          <w:kern w:val="0"/>
          <w:sz w:val="24"/>
          <w:u w:val="none"/>
          <w14:textFill>
            <w14:solidFill>
              <w14:schemeClr w14:val="tx1"/>
            </w14:solidFill>
          </w14:textFill>
        </w:rPr>
        <w:t>设计洪水位确定</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2015年9月，辽宁省水利电力勘测设计研究院编制了《辽宁省太子河（含大辽河</w:t>
      </w:r>
      <w:bookmarkStart w:id="30" w:name="_Toc440348809"/>
      <w:r>
        <w:rPr>
          <w:rFonts w:hint="eastAsia"/>
          <w:color w:val="000000" w:themeColor="text1"/>
          <w:sz w:val="24"/>
          <w:u w:val="none"/>
          <w14:textFill>
            <w14:solidFill>
              <w14:schemeClr w14:val="tx1"/>
            </w14:solidFill>
          </w14:textFill>
        </w:rPr>
        <w:t>）防洪治理工程可行</w:t>
      </w:r>
      <w:bookmarkEnd w:id="30"/>
      <w:r>
        <w:rPr>
          <w:rFonts w:hint="eastAsia"/>
          <w:color w:val="000000" w:themeColor="text1"/>
          <w:sz w:val="24"/>
          <w:u w:val="none"/>
          <w14:textFill>
            <w14:solidFill>
              <w14:schemeClr w14:val="tx1"/>
            </w14:solidFill>
          </w14:textFill>
        </w:rPr>
        <w:t>性</w:t>
      </w:r>
      <w:bookmarkStart w:id="31" w:name="_Toc419892303"/>
      <w:bookmarkStart w:id="32" w:name="_Toc440348810"/>
      <w:r>
        <w:rPr>
          <w:rFonts w:hint="eastAsia"/>
          <w:color w:val="000000" w:themeColor="text1"/>
          <w:sz w:val="24"/>
          <w:u w:val="none"/>
          <w14:textFill>
            <w14:solidFill>
              <w14:schemeClr w14:val="tx1"/>
            </w14:solidFill>
          </w14:textFill>
        </w:rPr>
        <w:t>研究报告</w:t>
      </w:r>
      <w:bookmarkEnd w:id="31"/>
      <w:bookmarkEnd w:id="32"/>
      <w:r>
        <w:rPr>
          <w:rFonts w:hint="eastAsia"/>
          <w:color w:val="000000" w:themeColor="text1"/>
          <w:sz w:val="24"/>
          <w:u w:val="none"/>
          <w14:textFill>
            <w14:solidFill>
              <w14:schemeClr w14:val="tx1"/>
            </w14:solidFill>
          </w14:textFill>
        </w:rPr>
        <w:t>》</w:t>
      </w:r>
      <w:bookmarkStart w:id="33" w:name="_Toc425118362"/>
      <w:bookmarkEnd w:id="33"/>
      <w:bookmarkStart w:id="34" w:name="_Toc425118361"/>
      <w:bookmarkEnd w:id="34"/>
      <w:bookmarkStart w:id="35" w:name="_Toc440348811"/>
      <w:bookmarkStart w:id="36" w:name="_Toc419892304"/>
      <w:r>
        <w:rPr>
          <w:rFonts w:hint="eastAsia"/>
          <w:color w:val="000000" w:themeColor="text1"/>
          <w:sz w:val="24"/>
          <w:u w:val="none"/>
          <w14:textFill>
            <w14:solidFill>
              <w14:schemeClr w14:val="tx1"/>
            </w14:solidFill>
          </w14:textFill>
        </w:rPr>
        <w:t>，系统的</w:t>
      </w:r>
      <w:bookmarkEnd w:id="35"/>
      <w:bookmarkEnd w:id="36"/>
      <w:r>
        <w:rPr>
          <w:rFonts w:hint="eastAsia"/>
          <w:color w:val="000000" w:themeColor="text1"/>
          <w:sz w:val="24"/>
          <w:u w:val="none"/>
          <w14:textFill>
            <w14:solidFill>
              <w14:schemeClr w14:val="tx1"/>
            </w14:solidFill>
          </w14:textFill>
        </w:rPr>
        <w:t>计算了</w:t>
      </w:r>
      <w:r>
        <w:rPr>
          <w:rFonts w:hint="eastAsia" w:ascii="宋体" w:hAnsi="宋体" w:cs="Arial"/>
          <w:color w:val="000000" w:themeColor="text1"/>
          <w:sz w:val="24"/>
          <w:u w:val="none"/>
          <w14:textFill>
            <w14:solidFill>
              <w14:schemeClr w14:val="tx1"/>
            </w14:solidFill>
          </w14:textFill>
        </w:rPr>
        <w:t>本溪市本级河道管理各个频率的设计洪水位。辽宁省发改委在2016年9月做了关于</w:t>
      </w:r>
      <w:r>
        <w:rPr>
          <w:rFonts w:hint="eastAsia"/>
          <w:color w:val="000000" w:themeColor="text1"/>
          <w:sz w:val="24"/>
          <w:u w:val="none"/>
          <w14:textFill>
            <w14:solidFill>
              <w14:schemeClr w14:val="tx1"/>
            </w14:solidFill>
          </w14:textFill>
        </w:rPr>
        <w:t>《辽宁省太子河（含大辽河）防洪治理工程可行性研究报告》的批复。</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细河本溪县段、南芬区段和平山区段从2012年开始陆续实施了多个中小河流治理工作，均有已批复的设计报告，根据设计报告的设计洪水位，本段细河设计标准为10年一遇到20年一遇。</w:t>
      </w:r>
    </w:p>
    <w:p>
      <w:pPr>
        <w:adjustRightInd w:val="0"/>
        <w:snapToGrid w:val="0"/>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4.2.4河道和水利工程管理范围具体划界操作细则</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bookmarkStart w:id="37" w:name="_Toc23602"/>
      <w:r>
        <w:rPr>
          <w:rFonts w:hint="eastAsia"/>
          <w:color w:val="000000" w:themeColor="text1"/>
          <w:sz w:val="24"/>
          <w:u w:val="none"/>
          <w14:textFill>
            <w14:solidFill>
              <w14:schemeClr w14:val="tx1"/>
            </w14:solidFill>
          </w14:textFill>
        </w:rPr>
        <w:t>河道及水利工程管理范围划界过程，针对各个河道的不同情况，存在以下几种具体情况：</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1、已建堤防段河道，河道和水利工程管理范围线位置线按4.2.1第一条确定。河道和水利工程管理范围线位置具体按以下两种方式确定：</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①堤防断面有背水坡：河道和水利工程管理范围线位置为堤防背水坡脚处向背水方向：堤防护堤地宽度；</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②堤防断面没有背水坡：堤防后地面高程与堤防顶高程一致，河道和水利工程管理范围线位置为从堤肩处开始向背水方向：堤顶宽度+护堤地宽度。</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2、无堤防段河道，河道防护以村庄或者城镇为主，河道断面设计为堤防断面。河道和水利工程管理范围线位置为从堤肩处开始向背水方向：堤顶宽度+堤防背水坡宽度+护堤地宽度。</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①堤肩位置及规划河道宽度，有已批复的河道规划，按规划河宽计算。无河道规划，按河道上下游平均河宽计算；</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②根据设计洪水位确定堤防顶高程；</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③由堤防顶高程和断面处原地面高程，根据堤防型式计算出堤防背水坡宽度；</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④根据堤防级别选取堤顶宽度和堤防护堤地宽度，堤防护堤地宽度按对应堤防设计级别的下限数值选取；</w:t>
      </w:r>
    </w:p>
    <w:p>
      <w:pPr>
        <w:numPr>
          <w:ilvl w:val="0"/>
          <w:numId w:val="6"/>
        </w:numPr>
        <w:adjustRightInd w:val="0"/>
        <w:snapToGrid w:val="0"/>
        <w:spacing w:line="440" w:lineRule="exact"/>
        <w:ind w:left="0"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无堤防段河道，河道防护以耕地为主，河道断面设计为护岸断面。护岸断面没有背水坡：护岸后地面高程大于等于护岸顶高程，河道和水利工程管理范围线位置为从堤肩处开始向背水方向：护堤地宽度。</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①根据设计洪水位确定护岸顶高程；</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②根据护岸级别选取护岸护堤地宽度，护岸护堤地宽度按对应堤防设计级别的上限数值选取；</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3、无堤防段，堤后紧邻山体。河道和水利工程管理范围线设置在山脚处。</w:t>
      </w:r>
    </w:p>
    <w:p>
      <w:pPr>
        <w:adjustRightInd w:val="0"/>
        <w:snapToGrid w:val="0"/>
        <w:spacing w:line="440" w:lineRule="exact"/>
        <w:ind w:firstLine="420" w:firstLineChars="200"/>
        <w:jc w:val="left"/>
        <w:rPr>
          <w:color w:val="000000" w:themeColor="text1"/>
          <w:sz w:val="24"/>
          <w:u w:val="none"/>
          <w14:textFill>
            <w14:solidFill>
              <w14:schemeClr w14:val="tx1"/>
            </w14:solidFill>
          </w14:textFill>
        </w:rPr>
      </w:pPr>
      <w:r>
        <w:rPr>
          <w:color w:val="000000" w:themeColor="text1"/>
          <w:u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-360680</wp:posOffset>
            </wp:positionH>
            <wp:positionV relativeFrom="paragraph">
              <wp:posOffset>742315</wp:posOffset>
            </wp:positionV>
            <wp:extent cx="7092315" cy="2711450"/>
            <wp:effectExtent l="0" t="0" r="13335" b="1270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rcRect l="4185" t="26810" r="11391" b="38373"/>
                    <a:stretch>
                      <a:fillRect/>
                    </a:stretch>
                  </pic:blipFill>
                  <pic:spPr>
                    <a:xfrm>
                      <a:off x="0" y="0"/>
                      <a:ext cx="7092315" cy="2711450"/>
                    </a:xfrm>
                    <a:prstGeom prst="rect">
                      <a:avLst/>
                    </a:prstGeom>
                    <a:noFill/>
                    <a:ln>
                      <a:noFill/>
                    </a:ln>
                  </pic:spPr>
                </pic:pic>
              </a:graphicData>
            </a:graphic>
          </wp:anchor>
        </w:drawing>
      </w:r>
      <w:r>
        <w:rPr>
          <w:rFonts w:hint="eastAsia"/>
          <w:color w:val="000000" w:themeColor="text1"/>
          <w:sz w:val="24"/>
          <w:u w:val="none"/>
          <w14:textFill>
            <w14:solidFill>
              <w14:schemeClr w14:val="tx1"/>
            </w14:solidFill>
          </w14:textFill>
        </w:rPr>
        <w:t>在划界实施过程中，如果河道和水利工程管理范围线位置处无法埋置划界桩，可以将划界桩埋置在条件允许的埋设处，并且在划界桩上明示河道和水利工程管理线的实际位置。</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rPr>
          <w:color w:val="000000" w:themeColor="text1"/>
          <w:sz w:val="24"/>
          <w:u w:val="none"/>
          <w14:textFill>
            <w14:solidFill>
              <w14:schemeClr w14:val="tx1"/>
            </w14:solidFill>
          </w14:textFill>
        </w:rPr>
        <w:sectPr>
          <w:pgSz w:w="11906" w:h="16838"/>
          <w:pgMar w:top="1440" w:right="1247" w:bottom="1440" w:left="1361" w:header="851" w:footer="992" w:gutter="0"/>
          <w:pgNumType w:fmt="decimalFullWidth"/>
          <w:cols w:space="720" w:num="1"/>
          <w:docGrid w:type="linesAndChars" w:linePitch="332" w:charSpace="0"/>
        </w:sectPr>
      </w:pPr>
      <w:r>
        <w:rPr>
          <w:rFonts w:hint="eastAsia"/>
          <w:color w:val="000000" w:themeColor="text1"/>
          <w:sz w:val="24"/>
          <w:u w:val="none"/>
          <w14:textFill>
            <w14:solidFill>
              <w14:schemeClr w14:val="tx1"/>
            </w14:solidFill>
          </w14:textFill>
        </w:rPr>
        <w:t>图4-1                      堤防断面示意图</w:t>
      </w:r>
    </w:p>
    <w:p>
      <w:pPr>
        <w:pStyle w:val="2"/>
        <w:numPr>
          <w:ilvl w:val="0"/>
          <w:numId w:val="0"/>
        </w:numPr>
        <w:spacing w:beforeLines="0" w:afterLines="0" w:line="440" w:lineRule="exact"/>
        <w:ind w:left="480"/>
        <w:rPr>
          <w:rFonts w:ascii="宋体" w:hAnsi="宋体" w:cs="宋体"/>
          <w:b/>
          <w:color w:val="000000" w:themeColor="text1"/>
          <w:szCs w:val="30"/>
          <w:u w:val="none"/>
          <w14:textFill>
            <w14:solidFill>
              <w14:schemeClr w14:val="tx1"/>
            </w14:solidFill>
          </w14:textFill>
        </w:rPr>
      </w:pPr>
      <w:r>
        <w:rPr>
          <w:rFonts w:hint="eastAsia" w:ascii="宋体" w:hAnsi="宋体" w:cs="宋体"/>
          <w:b/>
          <w:color w:val="000000" w:themeColor="text1"/>
          <w:szCs w:val="30"/>
          <w:u w:val="none"/>
          <w14:textFill>
            <w14:solidFill>
              <w14:schemeClr w14:val="tx1"/>
            </w14:solidFill>
          </w14:textFill>
        </w:rPr>
        <w:t>5.主要任务及实施安排</w:t>
      </w:r>
      <w:bookmarkEnd w:id="37"/>
    </w:p>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38" w:name="_Toc15467"/>
      <w:r>
        <w:rPr>
          <w:rFonts w:hint="eastAsia"/>
          <w:color w:val="000000" w:themeColor="text1"/>
          <w:sz w:val="24"/>
          <w:szCs w:val="24"/>
          <w:u w:val="none"/>
          <w14:textFill>
            <w14:solidFill>
              <w14:schemeClr w14:val="tx1"/>
            </w14:solidFill>
          </w14:textFill>
        </w:rPr>
        <w:t>5.1划界工作</w:t>
      </w:r>
      <w:bookmarkEnd w:id="38"/>
    </w:p>
    <w:p>
      <w:pPr>
        <w:tabs>
          <w:tab w:val="left" w:pos="0"/>
        </w:tabs>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5.1.1工作流程</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委托有资质的设计单位编制《</w:t>
      </w:r>
      <w:r>
        <w:rPr>
          <w:rFonts w:hint="eastAsia" w:ascii="Times New Roman" w:hAnsi="Times New Roman"/>
          <w:color w:val="000000" w:themeColor="text1"/>
          <w:sz w:val="24"/>
          <w:u w:val="none"/>
          <w14:textFill>
            <w14:solidFill>
              <w14:schemeClr w14:val="tx1"/>
            </w14:solidFill>
          </w14:textFill>
        </w:rPr>
        <w:t>本溪市本级河道和水利工程管理范围划定实施方案</w:t>
      </w:r>
      <w:r>
        <w:rPr>
          <w:rFonts w:hint="eastAsia"/>
          <w:color w:val="000000" w:themeColor="text1"/>
          <w:sz w:val="24"/>
          <w:u w:val="none"/>
          <w14:textFill>
            <w14:solidFill>
              <w14:schemeClr w14:val="tx1"/>
            </w14:solidFill>
          </w14:textFill>
        </w:rPr>
        <w:t>》；</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本溪市河长制办公室将“实施方案”报送本溪市水务局进行合规性审查，并将审查意见连同修改后的“实施方案”报本溪市人民政府印发；</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以国土局提供1:2000地形图作为工作底图，按照确定的划界标准，进行图上界址点布置，在一定间隔和拐点处布置界址点。以河流为单位，每条河形成《</w:t>
      </w:r>
      <w:r>
        <w:rPr>
          <w:color w:val="000000" w:themeColor="text1"/>
          <w:sz w:val="24"/>
          <w:u w:val="none"/>
          <w14:textFill>
            <w14:solidFill>
              <w14:schemeClr w14:val="tx1"/>
            </w14:solidFill>
          </w14:textFill>
        </w:rPr>
        <w:t>xx</w:t>
      </w:r>
      <w:r>
        <w:rPr>
          <w:rFonts w:hint="eastAsia"/>
          <w:color w:val="000000" w:themeColor="text1"/>
          <w:sz w:val="24"/>
          <w:u w:val="none"/>
          <w14:textFill>
            <w14:solidFill>
              <w14:schemeClr w14:val="tx1"/>
            </w14:solidFill>
          </w14:textFill>
        </w:rPr>
        <w:t>河河道和水利工程管理范围划界报告》；</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由本溪市水务局和本溪市国土局牵头，相关部门配合，根据《xx河河道和水利工程管理范围划定报告》组织实施xx河的河道和水利工程管理范围划定工作。对界址点进行现场测量放样，埋设预制界桩；</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划界成果由本溪市水务局和本溪市国土局组织验收，本溪市人民政府对河道和水利工程管理范围进行公告。</w:t>
      </w:r>
    </w:p>
    <w:p>
      <w:pPr>
        <w:numPr>
          <w:ilvl w:val="0"/>
          <w:numId w:val="8"/>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加强划界成果及资料管理，及时整理归档，并将有关成果纳入水利、国土及相关部门信息系统，建立信息共享机制。</w:t>
      </w:r>
    </w:p>
    <w:p>
      <w:pPr>
        <w:tabs>
          <w:tab w:val="left" w:pos="0"/>
        </w:tabs>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5.1.2河道界桩布设</w:t>
      </w:r>
    </w:p>
    <w:p>
      <w:pPr>
        <w:numPr>
          <w:ilvl w:val="0"/>
          <w:numId w:val="9"/>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河道采用1:2000地形图。地形图应满足以下具体要求：有堤防的应标明堤肩线和堤脚线，无堤防的应标出岸坎线，便于布设管理范围线；</w:t>
      </w:r>
    </w:p>
    <w:p>
      <w:pPr>
        <w:numPr>
          <w:ilvl w:val="0"/>
          <w:numId w:val="9"/>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界桩（牌）布设间距根据实际情况确定。</w:t>
      </w:r>
      <w:r>
        <w:rPr>
          <w:rFonts w:hint="eastAsia" w:ascii="Calibri" w:hAnsi="Calibri"/>
          <w:color w:val="000000" w:themeColor="text1"/>
          <w:sz w:val="24"/>
          <w:u w:val="none"/>
          <w14:textFill>
            <w14:solidFill>
              <w14:schemeClr w14:val="tx1"/>
            </w14:solidFill>
          </w14:textFill>
        </w:rPr>
        <w:t>直线段可采用</w:t>
      </w:r>
      <w:r>
        <w:rPr>
          <w:rFonts w:ascii="Calibri" w:hAnsi="Calibri"/>
          <w:color w:val="000000" w:themeColor="text1"/>
          <w:sz w:val="24"/>
          <w:u w:val="none"/>
          <w14:textFill>
            <w14:solidFill>
              <w14:schemeClr w14:val="tx1"/>
            </w14:solidFill>
          </w14:textFill>
        </w:rPr>
        <w:t>200m间距，曲线段采用100m间距，</w:t>
      </w:r>
      <w:r>
        <w:rPr>
          <w:rFonts w:hint="eastAsia"/>
          <w:color w:val="000000" w:themeColor="text1"/>
          <w:sz w:val="24"/>
          <w:u w:val="none"/>
          <w14:textFill>
            <w14:solidFill>
              <w14:schemeClr w14:val="tx1"/>
            </w14:solidFill>
          </w14:textFill>
        </w:rPr>
        <w:t>桥梁等</w:t>
      </w:r>
      <w:r>
        <w:rPr>
          <w:rFonts w:hint="eastAsia" w:cs="宋体"/>
          <w:color w:val="000000" w:themeColor="text1"/>
          <w:sz w:val="24"/>
          <w:u w:val="none"/>
          <w14:textFill>
            <w14:solidFill>
              <w14:schemeClr w14:val="tx1"/>
            </w14:solidFill>
          </w14:textFill>
        </w:rPr>
        <w:t>重要涉水项目处；河道转交（角度小于</w:t>
      </w:r>
      <w:r>
        <w:rPr>
          <w:color w:val="000000" w:themeColor="text1"/>
          <w:sz w:val="24"/>
          <w:u w:val="none"/>
          <w14:textFill>
            <w14:solidFill>
              <w14:schemeClr w14:val="tx1"/>
            </w14:solidFill>
          </w14:textFill>
        </w:rPr>
        <w:t>120</w:t>
      </w:r>
      <w:r>
        <w:rPr>
          <w:rFonts w:hint="eastAsia" w:cs="宋体"/>
          <w:color w:val="000000" w:themeColor="text1"/>
          <w:sz w:val="24"/>
          <w:u w:val="none"/>
          <w14:textFill>
            <w14:solidFill>
              <w14:schemeClr w14:val="tx1"/>
            </w14:solidFill>
          </w14:textFill>
        </w:rPr>
        <w:t>度）处；水事纠纷和水事案件易发地段或行政界</w:t>
      </w:r>
      <w:r>
        <w:rPr>
          <w:rFonts w:hint="eastAsia" w:ascii="宋体" w:hAnsi="宋体"/>
          <w:color w:val="000000" w:themeColor="text1"/>
          <w:sz w:val="24"/>
          <w:u w:val="none"/>
          <w14:textFill>
            <w14:solidFill>
              <w14:schemeClr w14:val="tx1"/>
            </w14:solidFill>
          </w14:textFill>
        </w:rPr>
        <w:t>，应加设界桩。</w:t>
      </w:r>
      <w:r>
        <w:rPr>
          <w:rFonts w:hint="eastAsia" w:cs="宋体"/>
          <w:color w:val="000000" w:themeColor="text1"/>
          <w:sz w:val="24"/>
          <w:u w:val="none"/>
          <w14:textFill>
            <w14:solidFill>
              <w14:schemeClr w14:val="tx1"/>
            </w14:solidFill>
          </w14:textFill>
        </w:rPr>
        <w:t>界桩点位能控制河道和水利工程管理范围边界的基本走向。在相邻河道及水利工程处埋设界桩时，根据其级别埋设界桩，若平级，则以布桩的顺序确定；</w:t>
      </w:r>
      <w:bookmarkStart w:id="39" w:name="_Toc440348814"/>
      <w:r>
        <w:rPr>
          <w:rFonts w:hint="eastAsia" w:ascii="宋体" w:hAnsi="宋体"/>
          <w:color w:val="000000" w:themeColor="text1"/>
          <w:sz w:val="24"/>
          <w:u w:val="none"/>
          <w14:textFill>
            <w14:solidFill>
              <w14:schemeClr w14:val="tx1"/>
            </w14:solidFill>
          </w14:textFill>
        </w:rPr>
        <w:t>工作量统计按平均间距</w:t>
      </w:r>
      <w:r>
        <w:rPr>
          <w:rFonts w:hint="eastAsia"/>
          <w:color w:val="000000" w:themeColor="text1"/>
          <w:sz w:val="24"/>
          <w:u w:val="none"/>
          <w14:textFill>
            <w14:solidFill>
              <w14:schemeClr w14:val="tx1"/>
            </w14:solidFill>
          </w14:textFill>
        </w:rPr>
        <w:t>100m</w:t>
      </w:r>
      <w:bookmarkEnd w:id="39"/>
      <w:r>
        <w:rPr>
          <w:rFonts w:hint="eastAsia" w:ascii="宋体" w:hAnsi="宋体"/>
          <w:color w:val="000000" w:themeColor="text1"/>
          <w:sz w:val="24"/>
          <w:u w:val="none"/>
          <w14:textFill>
            <w14:solidFill>
              <w14:schemeClr w14:val="tx1"/>
            </w14:solidFill>
          </w14:textFill>
        </w:rPr>
        <w:t>计算；</w:t>
      </w:r>
    </w:p>
    <w:p>
      <w:pPr>
        <w:numPr>
          <w:ilvl w:val="0"/>
          <w:numId w:val="9"/>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界牌布设。界线穿越密集居民地导致界桩不可埋设，又难以移位布设时，可设置界牌嵌入建筑物墙体或者地面，</w:t>
      </w:r>
      <w:r>
        <w:rPr>
          <w:rFonts w:hint="eastAsia" w:ascii="宋体" w:hAnsi="宋体"/>
          <w:color w:val="000000" w:themeColor="text1"/>
          <w:sz w:val="24"/>
          <w:u w:val="none"/>
          <w14:textFill>
            <w14:solidFill>
              <w14:schemeClr w14:val="tx1"/>
            </w14:solidFill>
          </w14:textFill>
        </w:rPr>
        <w:t>埋设管理线界牌后要与原有建筑物在同一水平面上，不能影响建筑物的适用功能和美观效果</w:t>
      </w:r>
      <w:r>
        <w:rPr>
          <w:rFonts w:hint="eastAsia"/>
          <w:color w:val="000000" w:themeColor="text1"/>
          <w:sz w:val="24"/>
          <w:u w:val="none"/>
          <w14:textFill>
            <w14:solidFill>
              <w14:schemeClr w14:val="tx1"/>
            </w14:solidFill>
          </w14:textFill>
        </w:rPr>
        <w:t>。界牌布设数量较少，在界桩中一并统计，在实际作业时根据需要设置。</w:t>
      </w:r>
    </w:p>
    <w:p>
      <w:pPr>
        <w:numPr>
          <w:ilvl w:val="0"/>
          <w:numId w:val="9"/>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简易管理牌布设。</w:t>
      </w:r>
      <w:r>
        <w:rPr>
          <w:rFonts w:hint="eastAsia" w:ascii="宋体" w:hAnsi="宋体"/>
          <w:color w:val="000000" w:themeColor="text1"/>
          <w:sz w:val="24"/>
          <w:u w:val="none"/>
          <w:shd w:val="clear" w:color="auto" w:fill="FFFFFF"/>
          <w14:textFill>
            <w14:solidFill>
              <w14:schemeClr w14:val="tx1"/>
            </w14:solidFill>
          </w14:textFill>
        </w:rPr>
        <w:t>简易管理牌主要布置在无条件下埋设</w:t>
      </w:r>
      <w:r>
        <w:rPr>
          <w:rFonts w:hint="eastAsia" w:ascii="宋体" w:hAnsi="宋体"/>
          <w:color w:val="000000" w:themeColor="text1"/>
          <w:sz w:val="24"/>
          <w:u w:val="none"/>
          <w14:textFill>
            <w14:solidFill>
              <w14:schemeClr w14:val="tx1"/>
            </w14:solidFill>
          </w14:textFill>
        </w:rPr>
        <w:t>管理范围界桩和管理线界牌的位置（如</w:t>
      </w:r>
      <w:r>
        <w:rPr>
          <w:rFonts w:hint="eastAsia" w:ascii="宋体" w:hAnsi="宋体"/>
          <w:color w:val="000000" w:themeColor="text1"/>
          <w:sz w:val="24"/>
          <w:u w:val="none"/>
          <w:shd w:val="clear" w:color="auto" w:fill="FFFFFF"/>
          <w14:textFill>
            <w14:solidFill>
              <w14:schemeClr w14:val="tx1"/>
            </w14:solidFill>
          </w14:textFill>
        </w:rPr>
        <w:t>高速公路与堤防管理范围交界处的有铁丝网等处</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shd w:val="clear" w:color="auto" w:fill="FFFFFF"/>
          <w14:textFill>
            <w14:solidFill>
              <w14:schemeClr w14:val="tx1"/>
            </w14:solidFill>
          </w14:textFill>
        </w:rPr>
        <w:t>。</w:t>
      </w:r>
      <w:r>
        <w:rPr>
          <w:rFonts w:hint="eastAsia"/>
          <w:color w:val="000000" w:themeColor="text1"/>
          <w:sz w:val="24"/>
          <w:u w:val="none"/>
          <w14:textFill>
            <w14:solidFill>
              <w14:schemeClr w14:val="tx1"/>
            </w14:solidFill>
          </w14:textFill>
        </w:rPr>
        <w:t>简易管理牌数量也较少，在界桩中一并统计，在实际作业时根据需要设置。</w:t>
      </w:r>
    </w:p>
    <w:p>
      <w:pPr>
        <w:numPr>
          <w:ilvl w:val="0"/>
          <w:numId w:val="9"/>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根据第4章4.2.4河道和水利工程管理范围具体划界操作细则及上述界桩</w:t>
      </w:r>
      <w:r>
        <w:rPr>
          <w:rFonts w:hint="eastAsia" w:cs="宋体"/>
          <w:color w:val="000000" w:themeColor="text1"/>
          <w:sz w:val="24"/>
          <w:u w:val="none"/>
          <w14:textFill>
            <w14:solidFill>
              <w14:schemeClr w14:val="tx1"/>
            </w14:solidFill>
          </w14:textFill>
        </w:rPr>
        <w:t>（牌）</w:t>
      </w:r>
      <w:r>
        <w:rPr>
          <w:rFonts w:hint="eastAsia"/>
          <w:color w:val="000000" w:themeColor="text1"/>
          <w:sz w:val="24"/>
          <w:u w:val="none"/>
          <w14:textFill>
            <w14:solidFill>
              <w14:schemeClr w14:val="tx1"/>
            </w14:solidFill>
          </w14:textFill>
        </w:rPr>
        <w:t>布设原则绘制《河道管理界限图》确定的界桩（牌）位置，并编号。</w:t>
      </w:r>
    </w:p>
    <w:p>
      <w:pPr>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5.1.3桩牌规格设计</w:t>
      </w:r>
    </w:p>
    <w:p>
      <w:p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（一）管理范围界桩</w:t>
      </w:r>
    </w:p>
    <w:p>
      <w:pPr>
        <w:numPr>
          <w:ilvl w:val="0"/>
          <w:numId w:val="10"/>
        </w:numPr>
        <w:adjustRightInd w:val="0"/>
        <w:snapToGrid w:val="0"/>
        <w:spacing w:line="440" w:lineRule="exact"/>
        <w:ind w:firstLine="480" w:firstLineChars="200"/>
        <w:jc w:val="left"/>
        <w:rPr>
          <w:rFonts w:ascii="宋体"/>
          <w:color w:val="000000" w:themeColor="text1"/>
          <w:sz w:val="24"/>
          <w:u w:val="none"/>
          <w:shd w:val="clear" w:color="auto" w:fill="FFFFFF"/>
          <w14:textFill>
            <w14:solidFill>
              <w14:schemeClr w14:val="tx1"/>
            </w14:solidFill>
          </w14:textFill>
        </w:rPr>
      </w:pPr>
      <w:r>
        <w:rPr>
          <w:rFonts w:hint="eastAsia" w:ascii="宋体"/>
          <w:color w:val="000000" w:themeColor="text1"/>
          <w:sz w:val="24"/>
          <w:u w:val="none"/>
          <w:shd w:val="clear" w:color="auto" w:fill="FFFFFF"/>
          <w14:textFill>
            <w14:solidFill>
              <w14:schemeClr w14:val="tx1"/>
            </w14:solidFill>
          </w14:textFill>
        </w:rPr>
        <w:t>制作规格：桩体形状为长方形柱体，四角切除棱角，切除棱角边长</w:t>
      </w:r>
      <w:r>
        <w:rPr>
          <w:rFonts w:ascii="宋体"/>
          <w:color w:val="000000" w:themeColor="text1"/>
          <w:sz w:val="24"/>
          <w:u w:val="none"/>
          <w:shd w:val="clear" w:color="auto" w:fill="FFFFFF"/>
          <w14:textFill>
            <w14:solidFill>
              <w14:schemeClr w14:val="tx1"/>
            </w14:solidFill>
          </w14:textFill>
        </w:rPr>
        <w:t>10mm</w:t>
      </w:r>
      <w:r>
        <w:rPr>
          <w:rFonts w:hint="eastAsia" w:ascii="宋体"/>
          <w:color w:val="000000" w:themeColor="text1"/>
          <w:sz w:val="24"/>
          <w:u w:val="none"/>
          <w:shd w:val="clear" w:color="auto" w:fill="FFFFFF"/>
          <w14:textFill>
            <w14:solidFill>
              <w14:schemeClr w14:val="tx1"/>
            </w14:solidFill>
          </w14:textFill>
        </w:rPr>
        <w:t>。高度1000</w:t>
      </w:r>
      <w:r>
        <w:rPr>
          <w:rFonts w:ascii="宋体"/>
          <w:color w:val="000000" w:themeColor="text1"/>
          <w:sz w:val="24"/>
          <w:u w:val="none"/>
          <w:shd w:val="clear" w:color="auto" w:fill="FFFFFF"/>
          <w14:textFill>
            <w14:solidFill>
              <w14:schemeClr w14:val="tx1"/>
            </w14:solidFill>
          </w14:textFill>
        </w:rPr>
        <w:t>mm</w:t>
      </w:r>
      <w:r>
        <w:rPr>
          <w:rFonts w:hint="eastAsia" w:ascii="宋体"/>
          <w:color w:val="000000" w:themeColor="text1"/>
          <w:sz w:val="24"/>
          <w:u w:val="none"/>
          <w:shd w:val="clear" w:color="auto" w:fill="FFFFFF"/>
          <w14:textFill>
            <w14:solidFill>
              <w14:schemeClr w14:val="tx1"/>
            </w14:solidFill>
          </w14:textFill>
        </w:rPr>
        <w:t>，横截面长2</w:t>
      </w:r>
      <w:r>
        <w:rPr>
          <w:rFonts w:ascii="宋体"/>
          <w:color w:val="000000" w:themeColor="text1"/>
          <w:sz w:val="24"/>
          <w:u w:val="none"/>
          <w:shd w:val="clear" w:color="auto" w:fill="FFFFFF"/>
          <w14:textFill>
            <w14:solidFill>
              <w14:schemeClr w14:val="tx1"/>
            </w14:solidFill>
          </w14:textFill>
        </w:rPr>
        <w:t>50mm×</w:t>
      </w:r>
      <w:r>
        <w:rPr>
          <w:rFonts w:hint="eastAsia" w:ascii="宋体"/>
          <w:color w:val="000000" w:themeColor="text1"/>
          <w:sz w:val="24"/>
          <w:u w:val="none"/>
          <w:shd w:val="clear" w:color="auto" w:fill="FFFFFF"/>
          <w14:textFill>
            <w14:solidFill>
              <w14:schemeClr w14:val="tx1"/>
            </w14:solidFill>
          </w14:textFill>
        </w:rPr>
        <w:t>宽2</w:t>
      </w:r>
      <w:r>
        <w:rPr>
          <w:rFonts w:ascii="宋体"/>
          <w:color w:val="000000" w:themeColor="text1"/>
          <w:sz w:val="24"/>
          <w:u w:val="none"/>
          <w:shd w:val="clear" w:color="auto" w:fill="FFFFFF"/>
          <w14:textFill>
            <w14:solidFill>
              <w14:schemeClr w14:val="tx1"/>
            </w14:solidFill>
          </w14:textFill>
        </w:rPr>
        <w:t>00mm</w:t>
      </w:r>
      <w:r>
        <w:rPr>
          <w:rFonts w:hint="eastAsia" w:ascii="宋体"/>
          <w:color w:val="000000" w:themeColor="text1"/>
          <w:sz w:val="24"/>
          <w:u w:val="none"/>
          <w:shd w:val="clear" w:color="auto" w:fill="FFFFFF"/>
          <w14:textFill>
            <w14:solidFill>
              <w14:schemeClr w14:val="tx1"/>
            </w14:solidFill>
          </w14:textFill>
        </w:rPr>
        <w:t>；基座以坐标点为中心，开挖一个长×宽×高均约为700mm×750mm×700mm的立方体坑，用C15混凝土浇筑100mm后的混凝土垫层，再将界桩放置在混凝土垫层上方的中心位置。界桩放置好后，周边用C15混凝土再浇筑400mm厚，将整个坑填满，并振捣密实，养生。等混凝土强度达到75%以后，混凝土上覆土200mm，或者恢复原地面的地砖等建筑物。</w:t>
      </w:r>
    </w:p>
    <w:p>
      <w:pPr>
        <w:numPr>
          <w:ilvl w:val="0"/>
          <w:numId w:val="10"/>
        </w:num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标示：</w:t>
      </w:r>
      <w:r>
        <w:rPr>
          <w:color w:val="000000" w:themeColor="text1"/>
          <w:sz w:val="24"/>
          <w:u w:val="none"/>
          <w14:textFill>
            <w14:solidFill>
              <w14:schemeClr w14:val="tx1"/>
            </w14:solidFill>
          </w14:textFill>
        </w:rPr>
        <w:t>在</w:t>
      </w:r>
      <w:r>
        <w:rPr>
          <w:rFonts w:hint="eastAsia"/>
          <w:color w:val="000000" w:themeColor="text1"/>
          <w:sz w:val="24"/>
          <w:u w:val="none"/>
          <w14:textFill>
            <w14:solidFill>
              <w14:schemeClr w14:val="tx1"/>
            </w14:solidFill>
          </w14:textFill>
        </w:rPr>
        <w:t>向河道面喷涂“严禁破坏”（竖排，</w:t>
      </w:r>
      <w:r>
        <w:rPr>
          <w:color w:val="000000" w:themeColor="text1"/>
          <w:sz w:val="24"/>
          <w:u w:val="none"/>
          <w14:textFill>
            <w14:solidFill>
              <w14:schemeClr w14:val="tx1"/>
            </w14:solidFill>
          </w14:textFill>
        </w:rPr>
        <w:t>字</w:t>
      </w:r>
      <w:r>
        <w:rPr>
          <w:rFonts w:hint="eastAsia"/>
          <w:color w:val="000000" w:themeColor="text1"/>
          <w:sz w:val="24"/>
          <w:u w:val="none"/>
          <w14:textFill>
            <w14:solidFill>
              <w14:schemeClr w14:val="tx1"/>
            </w14:solidFill>
          </w14:textFill>
        </w:rPr>
        <w:t>规格为</w:t>
      </w:r>
      <w:r>
        <w:rPr>
          <w:color w:val="000000" w:themeColor="text1"/>
          <w:sz w:val="24"/>
          <w:u w:val="none"/>
          <w14:textFill>
            <w14:solidFill>
              <w14:schemeClr w14:val="tx1"/>
            </w14:solidFill>
          </w14:textFill>
        </w:rPr>
        <w:t>50mm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50mm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背河道面</w:t>
      </w:r>
      <w:r>
        <w:rPr>
          <w:color w:val="000000" w:themeColor="text1"/>
          <w:sz w:val="24"/>
          <w:u w:val="none"/>
          <w14:textFill>
            <w14:solidFill>
              <w14:schemeClr w14:val="tx1"/>
            </w14:solidFill>
          </w14:textFill>
        </w:rPr>
        <w:t>喷涂</w:t>
      </w:r>
      <w:r>
        <w:rPr>
          <w:rFonts w:hint="eastAsia"/>
          <w:color w:val="000000" w:themeColor="text1"/>
          <w:sz w:val="24"/>
          <w:u w:val="none"/>
          <w14:textFill>
            <w14:solidFill>
              <w14:schemeClr w14:val="tx1"/>
            </w14:solidFill>
          </w14:textFill>
        </w:rPr>
        <w:t>“严禁移动”（竖排，字规格为</w:t>
      </w:r>
      <w:r>
        <w:rPr>
          <w:color w:val="000000" w:themeColor="text1"/>
          <w:sz w:val="24"/>
          <w:u w:val="none"/>
          <w14:textFill>
            <w14:solidFill>
              <w14:schemeClr w14:val="tx1"/>
            </w14:solidFill>
          </w14:textFill>
        </w:rPr>
        <w:t>50mm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50mm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，字体为黑体，颜色为蓝色</w:t>
      </w:r>
      <w:r>
        <w:rPr>
          <w:rFonts w:hint="eastAsia"/>
          <w:color w:val="000000" w:themeColor="text1"/>
          <w:sz w:val="24"/>
          <w:u w:val="none"/>
          <w14:textFill>
            <w14:solidFill>
              <w14:schemeClr w14:val="tx1"/>
            </w14:solidFill>
          </w14:textFill>
        </w:rPr>
        <w:t>，字间距20mm</w:t>
      </w:r>
      <w:r>
        <w:rPr>
          <w:color w:val="000000" w:themeColor="text1"/>
          <w:sz w:val="24"/>
          <w:u w:val="none"/>
          <w14:textFill>
            <w14:solidFill>
              <w14:schemeClr w14:val="tx1"/>
            </w14:solidFill>
          </w14:textFill>
        </w:rPr>
        <w:t>。向河</w:t>
      </w:r>
      <w:r>
        <w:rPr>
          <w:rFonts w:hint="eastAsia"/>
          <w:color w:val="000000" w:themeColor="text1"/>
          <w:sz w:val="24"/>
          <w:u w:val="none"/>
          <w14:textFill>
            <w14:solidFill>
              <w14:schemeClr w14:val="tx1"/>
            </w14:solidFill>
          </w14:textFill>
        </w:rPr>
        <w:t>道面左侧面</w:t>
      </w:r>
      <w:r>
        <w:rPr>
          <w:color w:val="000000" w:themeColor="text1"/>
          <w:sz w:val="24"/>
          <w:u w:val="none"/>
          <w14:textFill>
            <w14:solidFill>
              <w14:schemeClr w14:val="tx1"/>
            </w14:solidFill>
          </w14:textFill>
        </w:rPr>
        <w:t>从上至下分别刻注水利标志</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蓝色，长50mm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宽25mm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、喷涂</w:t>
      </w:r>
      <w:r>
        <w:rPr>
          <w:rFonts w:hint="eastAsia"/>
          <w:color w:val="000000" w:themeColor="text1"/>
          <w:sz w:val="24"/>
          <w:u w:val="none"/>
          <w14:textFill>
            <w14:solidFill>
              <w14:schemeClr w14:val="tx1"/>
            </w14:solidFill>
          </w14:textFill>
        </w:rPr>
        <w:t>“XX河”（</w:t>
      </w:r>
      <w:r>
        <w:rPr>
          <w:color w:val="000000" w:themeColor="text1"/>
          <w:sz w:val="24"/>
          <w:u w:val="none"/>
          <w14:textFill>
            <w14:solidFill>
              <w14:schemeClr w14:val="tx1"/>
            </w14:solidFill>
          </w14:textFill>
        </w:rPr>
        <w:t>红色</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字规格为3</w:t>
      </w:r>
      <w:r>
        <w:rPr>
          <w:rFonts w:hint="eastAsia"/>
          <w:color w:val="000000" w:themeColor="text1"/>
          <w:sz w:val="24"/>
          <w:u w:val="none"/>
          <w14:textFill>
            <w14:solidFill>
              <w14:schemeClr w14:val="tx1"/>
            </w14:solidFill>
          </w14:textFill>
        </w:rPr>
        <w:t>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3</w:t>
      </w:r>
      <w:r>
        <w:rPr>
          <w:rFonts w:hint="eastAsia"/>
          <w:color w:val="000000" w:themeColor="text1"/>
          <w:sz w:val="24"/>
          <w:u w:val="none"/>
          <w14:textFill>
            <w14:solidFill>
              <w14:schemeClr w14:val="tx1"/>
            </w14:solidFill>
          </w14:textFill>
        </w:rPr>
        <w:t>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，字间距5mm），</w:t>
      </w:r>
      <w:r>
        <w:rPr>
          <w:color w:val="000000" w:themeColor="text1"/>
          <w:sz w:val="24"/>
          <w:u w:val="none"/>
          <w14:textFill>
            <w14:solidFill>
              <w14:schemeClr w14:val="tx1"/>
            </w14:solidFill>
          </w14:textFill>
        </w:rPr>
        <w:t>管理</w:t>
      </w:r>
      <w:r>
        <w:rPr>
          <w:rFonts w:hint="eastAsia"/>
          <w:color w:val="000000" w:themeColor="text1"/>
          <w:sz w:val="24"/>
          <w:u w:val="none"/>
          <w14:textFill>
            <w14:solidFill>
              <w14:schemeClr w14:val="tx1"/>
            </w14:solidFill>
          </w14:textFill>
        </w:rPr>
        <w:t>范围</w:t>
      </w:r>
      <w:r>
        <w:rPr>
          <w:color w:val="000000" w:themeColor="text1"/>
          <w:sz w:val="24"/>
          <w:u w:val="none"/>
          <w14:textFill>
            <w14:solidFill>
              <w14:schemeClr w14:val="tx1"/>
            </w14:solidFill>
          </w14:textFill>
        </w:rPr>
        <w:t>线（蓝色，字规格为22mm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22mm</w:t>
      </w:r>
      <w:r>
        <w:rPr>
          <w:rFonts w:hint="eastAsia"/>
          <w:color w:val="000000" w:themeColor="text1"/>
          <w:sz w:val="24"/>
          <w:u w:val="none"/>
          <w14:textFill>
            <w14:solidFill>
              <w14:schemeClr w14:val="tx1"/>
            </w14:solidFill>
          </w14:textFill>
        </w:rPr>
        <w:t>，字间距5mm，与“XX河”行间距20mm</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，并留出部分空间以喷涂编号（字体长仿宋、规格10mm×20mm）；在</w:t>
      </w:r>
      <w:r>
        <w:rPr>
          <w:color w:val="000000" w:themeColor="text1"/>
          <w:sz w:val="24"/>
          <w:u w:val="none"/>
          <w14:textFill>
            <w14:solidFill>
              <w14:schemeClr w14:val="tx1"/>
            </w14:solidFill>
          </w14:textFill>
        </w:rPr>
        <w:t>向河</w:t>
      </w:r>
      <w:r>
        <w:rPr>
          <w:rFonts w:hint="eastAsia"/>
          <w:color w:val="000000" w:themeColor="text1"/>
          <w:sz w:val="24"/>
          <w:u w:val="none"/>
          <w14:textFill>
            <w14:solidFill>
              <w14:schemeClr w14:val="tx1"/>
            </w14:solidFill>
          </w14:textFill>
        </w:rPr>
        <w:t>道面右侧面刻注“本溪市</w:t>
      </w:r>
      <w:r>
        <w:rPr>
          <w:color w:val="000000" w:themeColor="text1"/>
          <w:sz w:val="24"/>
          <w:u w:val="none"/>
          <w14:textFill>
            <w14:solidFill>
              <w14:schemeClr w14:val="tx1"/>
            </w14:solidFill>
          </w14:textFill>
        </w:rPr>
        <w:t>人民政府</w:t>
      </w:r>
      <w:r>
        <w:rPr>
          <w:rFonts w:hint="eastAsia"/>
          <w:color w:val="000000" w:themeColor="text1"/>
          <w:sz w:val="24"/>
          <w:u w:val="none"/>
          <w14:textFill>
            <w14:solidFill>
              <w14:schemeClr w14:val="tx1"/>
            </w14:solidFill>
          </w14:textFill>
        </w:rPr>
        <w:t>”（红色，竖排，字规格为40mm×40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，字间距5mm，宽度适当调整）均为阴文，字体为隶书。整个管理界桩盖顶刷亮蓝色，厚度15mm。以上设计中，数量较多的文字，可适当缩小其大小，以美观、清晰为宜</w:t>
      </w:r>
      <w:r>
        <w:rPr>
          <w:rFonts w:hint="eastAsia" w:ascii="宋体" w:hAnsi="宋体"/>
          <w:color w:val="000000" w:themeColor="text1"/>
          <w:sz w:val="24"/>
          <w:u w:val="none"/>
          <w:shd w:val="clear" w:color="auto" w:fill="FFFFFF"/>
          <w14:textFill>
            <w14:solidFill>
              <w14:schemeClr w14:val="tx1"/>
            </w14:solidFill>
          </w14:textFill>
        </w:rPr>
        <w:t>；</w:t>
      </w:r>
    </w:p>
    <w:p>
      <w:pPr>
        <w:numPr>
          <w:ilvl w:val="0"/>
          <w:numId w:val="10"/>
        </w:numPr>
        <w:adjustRightInd w:val="0"/>
        <w:snapToGrid w:val="0"/>
        <w:spacing w:line="440" w:lineRule="exact"/>
        <w:ind w:firstLine="480" w:firstLineChars="200"/>
        <w:jc w:val="left"/>
        <w:rPr>
          <w:rFonts w:asci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制作材料：花岗岩；</w:t>
      </w:r>
    </w:p>
    <w:p>
      <w:pPr>
        <w:numPr>
          <w:ilvl w:val="0"/>
          <w:numId w:val="10"/>
        </w:numPr>
        <w:adjustRightInd w:val="0"/>
        <w:snapToGrid w:val="0"/>
        <w:spacing w:line="440" w:lineRule="exact"/>
        <w:ind w:firstLine="480" w:firstLineChars="200"/>
        <w:jc w:val="left"/>
        <w:rPr>
          <w:rFonts w:asci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埋设位置：管理界桩埋设位置根据《</w:t>
      </w:r>
      <w:r>
        <w:rPr>
          <w:rFonts w:hint="eastAsia"/>
          <w:color w:val="000000" w:themeColor="text1"/>
          <w:sz w:val="24"/>
          <w:u w:val="none"/>
          <w14:textFill>
            <w14:solidFill>
              <w14:schemeClr w14:val="tx1"/>
            </w14:solidFill>
          </w14:textFill>
        </w:rPr>
        <w:t>xx河河道和水利工程管理范围划界报告</w:t>
      </w:r>
      <w:r>
        <w:rPr>
          <w:rFonts w:hint="eastAsia" w:ascii="宋体" w:hAnsi="宋体"/>
          <w:color w:val="000000" w:themeColor="text1"/>
          <w:sz w:val="24"/>
          <w:u w:val="none"/>
          <w:shd w:val="clear" w:color="auto" w:fill="FFFFFF"/>
          <w14:textFill>
            <w14:solidFill>
              <w14:schemeClr w14:val="tx1"/>
            </w14:solidFill>
          </w14:textFill>
        </w:rPr>
        <w:t xml:space="preserve">》中的附图及本章5.1.2第2条进行布设。         </w:t>
      </w:r>
    </w:p>
    <w:p>
      <w:pPr>
        <w:numPr>
          <w:ilvl w:val="0"/>
          <w:numId w:val="0"/>
        </w:numPr>
        <w:adjustRightInd w:val="0"/>
        <w:snapToGrid w:val="0"/>
        <w:spacing w:line="360" w:lineRule="auto"/>
        <w:ind w:left="420" w:leftChars="200"/>
        <w:jc w:val="center"/>
        <w:rPr>
          <w:rFonts w:ascii="Calibri"/>
          <w:color w:val="000000" w:themeColor="text1"/>
          <w:sz w:val="24"/>
          <w:u w:val="none"/>
          <w:shd w:val="clear" w:color="auto" w:fill="auto"/>
          <w14:textFill>
            <w14:solidFill>
              <w14:schemeClr w14:val="tx1"/>
            </w14:solidFill>
          </w14:textFill>
        </w:rPr>
      </w:pPr>
      <w:r>
        <w:rPr>
          <w:color w:val="000000" w:themeColor="text1"/>
          <w:sz w:val="24"/>
          <w:u w:val="none"/>
          <w14:textFill>
            <w14:solidFill>
              <w14:schemeClr w14:val="tx1"/>
            </w14:solidFill>
          </w14:textFill>
        </w:rPr>
        <w:drawing>
          <wp:inline distT="0" distB="0" distL="114300" distR="114300">
            <wp:extent cx="3434715" cy="3273425"/>
            <wp:effectExtent l="0" t="0" r="1333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3434715" cy="3273425"/>
                    </a:xfrm>
                    <a:prstGeom prst="rect">
                      <a:avLst/>
                    </a:prstGeom>
                    <a:noFill/>
                    <a:ln>
                      <a:noFill/>
                    </a:ln>
                  </pic:spPr>
                </pic:pic>
              </a:graphicData>
            </a:graphic>
          </wp:inline>
        </w:drawing>
      </w:r>
    </w:p>
    <w:p>
      <w:pPr>
        <w:ind w:firstLine="420"/>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 xml:space="preserve">图 </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STYLEREF 1 \s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0</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noBreakHyphen/>
      </w:r>
      <w:r>
        <w:rPr>
          <w:rFonts w:hint="eastAsia"/>
          <w:color w:val="000000" w:themeColor="text1"/>
          <w:u w:val="none"/>
          <w14:textFill>
            <w14:solidFill>
              <w14:schemeClr w14:val="tx1"/>
            </w14:solidFill>
          </w14:textFill>
        </w:rPr>
        <w:t>1管理范围界桩样式示意图</w:t>
      </w:r>
    </w:p>
    <w:p>
      <w:pPr>
        <w:ind w:firstLine="420"/>
        <w:jc w:val="center"/>
        <w:rPr>
          <w:color w:val="000000" w:themeColor="text1"/>
          <w:u w:val="none"/>
          <w14:textFill>
            <w14:solidFill>
              <w14:schemeClr w14:val="tx1"/>
            </w14:solidFill>
          </w14:textFill>
        </w:rPr>
      </w:pPr>
    </w:p>
    <w:p>
      <w:pPr>
        <w:adjustRightInd w:val="0"/>
        <w:snapToGrid w:val="0"/>
        <w:spacing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（二）管理线界牌</w:t>
      </w:r>
    </w:p>
    <w:p>
      <w:pPr>
        <w:numPr>
          <w:ilvl w:val="0"/>
          <w:numId w:val="11"/>
        </w:num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制作规格</w:t>
      </w:r>
      <w:r>
        <w:rPr>
          <w:rFonts w:ascii="宋体" w:hAnsi="宋体"/>
          <w:color w:val="000000" w:themeColor="text1"/>
          <w:sz w:val="24"/>
          <w:u w:val="none"/>
          <w:shd w:val="clear" w:color="auto" w:fill="FFFFFF"/>
          <w14:textFill>
            <w14:solidFill>
              <w14:schemeClr w14:val="tx1"/>
            </w14:solidFill>
          </w14:textFill>
        </w:rPr>
        <w:t>:</w:t>
      </w:r>
      <w:r>
        <w:rPr>
          <w:color w:val="000000" w:themeColor="text1"/>
          <w:sz w:val="24"/>
          <w:u w:val="none"/>
          <w14:textFill>
            <w14:solidFill>
              <w14:schemeClr w14:val="tx1"/>
            </w14:solidFill>
          </w14:textFill>
        </w:rPr>
        <w:t xml:space="preserve"> 制作规格</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横截面形状为长方形，长500mm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宽400mm</w:t>
      </w:r>
      <w:r>
        <w:rPr>
          <w:rFonts w:hint="eastAsia"/>
          <w:color w:val="000000" w:themeColor="text1"/>
          <w:sz w:val="24"/>
          <w:u w:val="none"/>
          <w14:textFill>
            <w14:solidFill>
              <w14:schemeClr w14:val="tx1"/>
            </w14:solidFill>
          </w14:textFill>
        </w:rPr>
        <w:t>,厚度为300mm。立面做阴文（除喷涂编码外），字体为隶书，从上至下分别刻注水</w:t>
      </w:r>
      <w:r>
        <w:rPr>
          <w:color w:val="000000" w:themeColor="text1"/>
          <w:sz w:val="24"/>
          <w:u w:val="none"/>
          <w14:textFill>
            <w14:solidFill>
              <w14:schemeClr w14:val="tx1"/>
            </w14:solidFill>
          </w14:textFill>
        </w:rPr>
        <w:t>利标志（蓝色，长100mm</w:t>
      </w:r>
      <w:r>
        <w:rPr>
          <w:rFonts w:hint="eastAsia"/>
          <w:color w:val="000000" w:themeColor="text1"/>
          <w:sz w:val="24"/>
          <w:u w:val="none"/>
          <w14:textFill>
            <w14:solidFill>
              <w14:schemeClr w14:val="tx1"/>
            </w14:solidFill>
          </w14:textFill>
        </w:rPr>
        <w:t>×宽</w:t>
      </w:r>
      <w:r>
        <w:rPr>
          <w:color w:val="000000" w:themeColor="text1"/>
          <w:sz w:val="24"/>
          <w:u w:val="none"/>
          <w14:textFill>
            <w14:solidFill>
              <w14:schemeClr w14:val="tx1"/>
            </w14:solidFill>
          </w14:textFill>
        </w:rPr>
        <w:t>50mm）、</w:t>
      </w:r>
      <w:r>
        <w:rPr>
          <w:rFonts w:hint="eastAsia"/>
          <w:color w:val="000000" w:themeColor="text1"/>
          <w:sz w:val="24"/>
          <w:u w:val="none"/>
          <w14:textFill>
            <w14:solidFill>
              <w14:schemeClr w14:val="tx1"/>
            </w14:solidFill>
          </w14:textFill>
        </w:rPr>
        <w:t>“XX河”</w:t>
      </w:r>
      <w:r>
        <w:rPr>
          <w:color w:val="000000" w:themeColor="text1"/>
          <w:sz w:val="24"/>
          <w:u w:val="none"/>
          <w14:textFill>
            <w14:solidFill>
              <w14:schemeClr w14:val="tx1"/>
            </w14:solidFill>
          </w14:textFill>
        </w:rPr>
        <w:t>（红色</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字规格为</w:t>
      </w:r>
      <w:r>
        <w:rPr>
          <w:rFonts w:hint="eastAsia"/>
          <w:color w:val="000000" w:themeColor="text1"/>
          <w:sz w:val="24"/>
          <w:u w:val="none"/>
          <w14:textFill>
            <w14:solidFill>
              <w14:schemeClr w14:val="tx1"/>
            </w14:solidFill>
          </w14:textFill>
        </w:rPr>
        <w:t>60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×60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，字间距10mm，其它河道字高不变，宽度适当调整</w:t>
      </w:r>
      <w:r>
        <w:rPr>
          <w:color w:val="000000" w:themeColor="text1"/>
          <w:sz w:val="24"/>
          <w:u w:val="none"/>
          <w14:textFill>
            <w14:solidFill>
              <w14:schemeClr w14:val="tx1"/>
            </w14:solidFill>
          </w14:textFill>
        </w:rPr>
        <w:t>）、管理</w:t>
      </w:r>
      <w:r>
        <w:rPr>
          <w:rFonts w:hint="eastAsia"/>
          <w:color w:val="000000" w:themeColor="text1"/>
          <w:sz w:val="24"/>
          <w:u w:val="none"/>
          <w14:textFill>
            <w14:solidFill>
              <w14:schemeClr w14:val="tx1"/>
            </w14:solidFill>
          </w14:textFill>
        </w:rPr>
        <w:t>范围</w:t>
      </w:r>
      <w:r>
        <w:rPr>
          <w:color w:val="000000" w:themeColor="text1"/>
          <w:sz w:val="24"/>
          <w:u w:val="none"/>
          <w14:textFill>
            <w14:solidFill>
              <w14:schemeClr w14:val="tx1"/>
            </w14:solidFill>
          </w14:textFill>
        </w:rPr>
        <w:t>线（蓝色</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字规格为4</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4</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，字间距10mm</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、喷涂编码（红色，</w:t>
      </w:r>
      <w:r>
        <w:rPr>
          <w:rFonts w:hint="eastAsia" w:ascii="宋体" w:hAnsi="宋体"/>
          <w:color w:val="000000" w:themeColor="text1"/>
          <w:sz w:val="24"/>
          <w:u w:val="none"/>
          <w:shd w:val="clear" w:color="auto" w:fill="FFFFFF"/>
          <w14:textFill>
            <w14:solidFill>
              <w14:schemeClr w14:val="tx1"/>
            </w14:solidFill>
          </w14:textFill>
        </w:rPr>
        <w:t>字体长仿宋、规格为35mm×35</w:t>
      </w:r>
      <w:r>
        <w:rPr>
          <w:rFonts w:ascii="宋体" w:hAnsi="宋体"/>
          <w:color w:val="000000" w:themeColor="text1"/>
          <w:sz w:val="24"/>
          <w:u w:val="none"/>
          <w:shd w:val="clear" w:color="auto" w:fill="FFFFFF"/>
          <w14:textFill>
            <w14:solidFill>
              <w14:schemeClr w14:val="tx1"/>
            </w14:solidFill>
          </w14:textFill>
        </w:rPr>
        <w:t>mm</w:t>
      </w:r>
      <w:r>
        <w:rPr>
          <w:rFonts w:hint="eastAsia" w:ascii="宋体" w:hAnsi="宋体"/>
          <w:color w:val="000000" w:themeColor="text1"/>
          <w:sz w:val="24"/>
          <w:u w:val="none"/>
          <w:shd w:val="clear" w:color="auto" w:fill="FFFFFF"/>
          <w14:textFill>
            <w14:solidFill>
              <w14:schemeClr w14:val="tx1"/>
            </w14:solidFill>
          </w14:textFill>
        </w:rPr>
        <w:t>，间距5mm），下排为“本溪市人民政府”（红色，字规格为30mm×30</w:t>
      </w:r>
      <w:r>
        <w:rPr>
          <w:rFonts w:ascii="宋体" w:hAnsi="宋体"/>
          <w:color w:val="000000" w:themeColor="text1"/>
          <w:sz w:val="24"/>
          <w:u w:val="none"/>
          <w:shd w:val="clear" w:color="auto" w:fill="FFFFFF"/>
          <w14:textFill>
            <w14:solidFill>
              <w14:schemeClr w14:val="tx1"/>
            </w14:solidFill>
          </w14:textFill>
        </w:rPr>
        <w:t>mm</w:t>
      </w:r>
      <w:r>
        <w:rPr>
          <w:rFonts w:hint="eastAsia" w:ascii="宋体" w:hAnsi="宋体"/>
          <w:color w:val="000000" w:themeColor="text1"/>
          <w:sz w:val="24"/>
          <w:u w:val="none"/>
          <w:shd w:val="clear" w:color="auto" w:fill="FFFFFF"/>
          <w14:textFill>
            <w14:solidFill>
              <w14:schemeClr w14:val="tx1"/>
            </w14:solidFill>
          </w14:textFill>
        </w:rPr>
        <w:t>，字间距5mm，宽度适当调整）。以上标志及文字均居中，数量较多的文字，可适当缩小其大小，以美观、清晰为宜；</w:t>
      </w:r>
    </w:p>
    <w:p>
      <w:pPr>
        <w:numPr>
          <w:ilvl w:val="0"/>
          <w:numId w:val="11"/>
        </w:num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制作材料</w:t>
      </w:r>
      <w:r>
        <w:rPr>
          <w:rFonts w:ascii="宋体" w:hAnsi="宋体"/>
          <w:color w:val="000000" w:themeColor="text1"/>
          <w:sz w:val="24"/>
          <w:u w:val="none"/>
          <w:shd w:val="clear" w:color="auto" w:fill="FFFFFF"/>
          <w14:textFill>
            <w14:solidFill>
              <w14:schemeClr w14:val="tx1"/>
            </w14:solidFill>
          </w14:textFill>
        </w:rPr>
        <w:t>:</w:t>
      </w:r>
      <w:r>
        <w:rPr>
          <w:rFonts w:hint="eastAsia" w:ascii="宋体" w:hAnsi="宋体"/>
          <w:color w:val="000000" w:themeColor="text1"/>
          <w:sz w:val="24"/>
          <w:u w:val="none"/>
          <w:shd w:val="clear" w:color="auto" w:fill="FFFFFF"/>
          <w14:textFill>
            <w14:solidFill>
              <w14:schemeClr w14:val="tx1"/>
            </w14:solidFill>
          </w14:textFill>
        </w:rPr>
        <w:t>花岗岩；</w:t>
      </w:r>
    </w:p>
    <w:p>
      <w:pPr>
        <w:numPr>
          <w:ilvl w:val="0"/>
          <w:numId w:val="11"/>
        </w:num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埋设位置：</w:t>
      </w:r>
      <w:r>
        <w:rPr>
          <w:rFonts w:hint="eastAsia" w:ascii="宋体" w:hAnsi="宋体"/>
          <w:color w:val="000000" w:themeColor="text1"/>
          <w:sz w:val="24"/>
          <w:u w:val="none"/>
          <w14:textFill>
            <w14:solidFill>
              <w14:schemeClr w14:val="tx1"/>
            </w14:solidFill>
          </w14:textFill>
        </w:rPr>
        <w:t>管理线界牌</w:t>
      </w:r>
      <w:r>
        <w:rPr>
          <w:rFonts w:hint="eastAsia" w:ascii="宋体" w:hAnsi="宋体"/>
          <w:color w:val="000000" w:themeColor="text1"/>
          <w:sz w:val="24"/>
          <w:u w:val="none"/>
          <w:shd w:val="clear" w:color="auto" w:fill="FFFFFF"/>
          <w14:textFill>
            <w14:solidFill>
              <w14:schemeClr w14:val="tx1"/>
            </w14:solidFill>
          </w14:textFill>
        </w:rPr>
        <w:t>埋设位置根据《</w:t>
      </w:r>
      <w:r>
        <w:rPr>
          <w:rFonts w:hint="eastAsia"/>
          <w:color w:val="000000" w:themeColor="text1"/>
          <w:sz w:val="24"/>
          <w:u w:val="none"/>
          <w14:textFill>
            <w14:solidFill>
              <w14:schemeClr w14:val="tx1"/>
            </w14:solidFill>
          </w14:textFill>
        </w:rPr>
        <w:t>xx河河道和水利工程管理范围划界报告</w:t>
      </w:r>
      <w:r>
        <w:rPr>
          <w:rFonts w:hint="eastAsia" w:ascii="宋体" w:hAnsi="宋体"/>
          <w:color w:val="000000" w:themeColor="text1"/>
          <w:sz w:val="24"/>
          <w:u w:val="none"/>
          <w:shd w:val="clear" w:color="auto" w:fill="FFFFFF"/>
          <w14:textFill>
            <w14:solidFill>
              <w14:schemeClr w14:val="tx1"/>
            </w14:solidFill>
          </w14:textFill>
        </w:rPr>
        <w:t xml:space="preserve">》中的附图及本章5.1.2第3条进行布设。   </w:t>
      </w:r>
    </w:p>
    <w:p>
      <w:pPr>
        <w:adjustRightInd w:val="0"/>
        <w:snapToGrid w:val="0"/>
        <w:spacing w:line="360" w:lineRule="auto"/>
        <w:ind w:left="420" w:leftChars="200"/>
        <w:jc w:val="center"/>
        <w:rPr>
          <w:rFonts w:ascii="宋体" w:hAnsi="宋体"/>
          <w:color w:val="000000" w:themeColor="text1"/>
          <w:sz w:val="24"/>
          <w:u w:val="none"/>
          <w:shd w:val="clear" w:color="auto" w:fill="FFFFFF"/>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3781425" cy="2751455"/>
            <wp:effectExtent l="0" t="0" r="9525" b="10795"/>
            <wp:docPr id="5" name="图片 4" descr="说明: 说明: 界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说明: 说明: 界牌.jpg"/>
                    <pic:cNvPicPr>
                      <a:picLocks noChangeAspect="1"/>
                    </pic:cNvPicPr>
                  </pic:nvPicPr>
                  <pic:blipFill>
                    <a:blip r:embed="rId14">
                      <a:biLevel thresh="50000"/>
                      <a:grayscl/>
                    </a:blip>
                    <a:srcRect l="2846" t="18782" r="80280" b="65169"/>
                    <a:stretch>
                      <a:fillRect/>
                    </a:stretch>
                  </pic:blipFill>
                  <pic:spPr>
                    <a:xfrm>
                      <a:off x="0" y="0"/>
                      <a:ext cx="3781425" cy="2751455"/>
                    </a:xfrm>
                    <a:prstGeom prst="rect">
                      <a:avLst/>
                    </a:prstGeom>
                    <a:noFill/>
                    <a:ln>
                      <a:noFill/>
                    </a:ln>
                  </pic:spPr>
                </pic:pic>
              </a:graphicData>
            </a:graphic>
          </wp:inline>
        </w:drawing>
      </w:r>
    </w:p>
    <w:p>
      <w:pPr>
        <w:adjustRightInd w:val="0"/>
        <w:snapToGrid w:val="0"/>
        <w:spacing w:line="360" w:lineRule="auto"/>
        <w:ind w:firstLine="420"/>
        <w:jc w:val="center"/>
        <w:rPr>
          <w:rFonts w:ascii="宋体" w:hAnsi="宋体"/>
          <w:color w:val="000000" w:themeColor="text1"/>
          <w:sz w:val="24"/>
          <w:u w:val="none"/>
          <w:shd w:val="clear" w:color="auto" w:fill="FFFFFF"/>
          <w14:textFill>
            <w14:solidFill>
              <w14:schemeClr w14:val="tx1"/>
            </w14:solidFill>
          </w14:textFill>
        </w:rPr>
      </w:pPr>
      <w:r>
        <w:rPr>
          <w:rFonts w:hint="eastAsia"/>
          <w:color w:val="000000" w:themeColor="text1"/>
          <w:u w:val="none"/>
          <w14:textFill>
            <w14:solidFill>
              <w14:schemeClr w14:val="tx1"/>
            </w14:solidFill>
          </w14:textFill>
        </w:rPr>
        <w:t xml:space="preserve">图 </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STYLEREF 1 \s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0</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noBreakHyphen/>
      </w:r>
      <w:r>
        <w:rPr>
          <w:rFonts w:hint="eastAsia"/>
          <w:color w:val="000000" w:themeColor="text1"/>
          <w:u w:val="none"/>
          <w14:textFill>
            <w14:solidFill>
              <w14:schemeClr w14:val="tx1"/>
            </w14:solidFill>
          </w14:textFill>
        </w:rPr>
        <w:t>2  管理范围界</w:t>
      </w:r>
      <w:r>
        <w:rPr>
          <w:rFonts w:hint="eastAsia" w:ascii="宋体" w:hAnsi="宋体"/>
          <w:color w:val="000000" w:themeColor="text1"/>
          <w:sz w:val="24"/>
          <w:u w:val="none"/>
          <w14:textFill>
            <w14:solidFill>
              <w14:schemeClr w14:val="tx1"/>
            </w14:solidFill>
          </w14:textFill>
        </w:rPr>
        <w:t>牌</w:t>
      </w:r>
      <w:r>
        <w:rPr>
          <w:rFonts w:hint="eastAsia"/>
          <w:color w:val="000000" w:themeColor="text1"/>
          <w:u w:val="none"/>
          <w14:textFill>
            <w14:solidFill>
              <w14:schemeClr w14:val="tx1"/>
            </w14:solidFill>
          </w14:textFill>
        </w:rPr>
        <w:t>样式示意图</w:t>
      </w:r>
    </w:p>
    <w:p>
      <w:p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（三）简易管理牌</w:t>
      </w:r>
    </w:p>
    <w:p>
      <w:pPr>
        <w:numPr>
          <w:ilvl w:val="0"/>
          <w:numId w:val="12"/>
        </w:numPr>
        <w:adjustRightInd w:val="0"/>
        <w:snapToGrid w:val="0"/>
        <w:spacing w:line="440" w:lineRule="exact"/>
        <w:ind w:firstLine="480" w:firstLineChars="200"/>
        <w:jc w:val="left"/>
        <w:rPr>
          <w:rFonts w:asci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制作规格</w:t>
      </w:r>
      <w:r>
        <w:rPr>
          <w:rFonts w:ascii="宋体" w:hAnsi="宋体"/>
          <w:color w:val="000000" w:themeColor="text1"/>
          <w:sz w:val="24"/>
          <w:u w:val="none"/>
          <w:shd w:val="clear" w:color="auto" w:fill="FFFFFF"/>
          <w14:textFill>
            <w14:solidFill>
              <w14:schemeClr w14:val="tx1"/>
            </w14:solidFill>
          </w14:textFill>
        </w:rPr>
        <w:t>: 横截面形状为长方形</w:t>
      </w:r>
      <w:r>
        <w:rPr>
          <w:color w:val="000000" w:themeColor="text1"/>
          <w:sz w:val="24"/>
          <w:u w:val="none"/>
          <w14:textFill>
            <w14:solidFill>
              <w14:schemeClr w14:val="tx1"/>
            </w14:solidFill>
          </w14:textFill>
        </w:rPr>
        <w:t>，</w:t>
      </w:r>
      <w:r>
        <w:rPr>
          <w:rFonts w:ascii="宋体" w:hAnsi="宋体"/>
          <w:color w:val="000000" w:themeColor="text1"/>
          <w:sz w:val="24"/>
          <w:u w:val="none"/>
          <w:shd w:val="clear" w:color="auto" w:fill="FFFFFF"/>
          <w14:textFill>
            <w14:solidFill>
              <w14:schemeClr w14:val="tx1"/>
            </w14:solidFill>
          </w14:textFill>
        </w:rPr>
        <w:t>长</w:t>
      </w:r>
      <w:r>
        <w:rPr>
          <w:color w:val="000000" w:themeColor="text1"/>
          <w:sz w:val="24"/>
          <w:u w:val="none"/>
          <w14:textFill>
            <w14:solidFill>
              <w14:schemeClr w14:val="tx1"/>
            </w14:solidFill>
          </w14:textFill>
        </w:rPr>
        <w:t>500mm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宽400mm</w:t>
      </w:r>
      <w:r>
        <w:rPr>
          <w:rFonts w:hint="eastAsia"/>
          <w:color w:val="000000" w:themeColor="text1"/>
          <w:sz w:val="24"/>
          <w:u w:val="none"/>
          <w14:textFill>
            <w14:solidFill>
              <w14:schemeClr w14:val="tx1"/>
            </w14:solidFill>
          </w14:textFill>
        </w:rPr>
        <w:t>。从上至下分别喷印水利标志</w:t>
      </w:r>
      <w:r>
        <w:rPr>
          <w:color w:val="000000" w:themeColor="text1"/>
          <w:sz w:val="24"/>
          <w:u w:val="none"/>
          <w14:textFill>
            <w14:solidFill>
              <w14:schemeClr w14:val="tx1"/>
            </w14:solidFill>
          </w14:textFill>
        </w:rPr>
        <w:t>（蓝色，长100mm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宽50mm）、</w:t>
      </w:r>
      <w:r>
        <w:rPr>
          <w:rFonts w:hint="eastAsia"/>
          <w:color w:val="000000" w:themeColor="text1"/>
          <w:sz w:val="24"/>
          <w:u w:val="none"/>
          <w14:textFill>
            <w14:solidFill>
              <w14:schemeClr w14:val="tx1"/>
            </w14:solidFill>
          </w14:textFill>
        </w:rPr>
        <w:t>“XX河”</w:t>
      </w:r>
      <w:r>
        <w:rPr>
          <w:color w:val="000000" w:themeColor="text1"/>
          <w:sz w:val="24"/>
          <w:u w:val="none"/>
          <w14:textFill>
            <w14:solidFill>
              <w14:schemeClr w14:val="tx1"/>
            </w14:solidFill>
          </w14:textFill>
        </w:rPr>
        <w:t>（红色</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字规格为</w:t>
      </w:r>
      <w:r>
        <w:rPr>
          <w:rFonts w:hint="eastAsia"/>
          <w:color w:val="000000" w:themeColor="text1"/>
          <w:sz w:val="24"/>
          <w:u w:val="none"/>
          <w14:textFill>
            <w14:solidFill>
              <w14:schemeClr w14:val="tx1"/>
            </w14:solidFill>
          </w14:textFill>
        </w:rPr>
        <w:t>60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×60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，字间距10mm，其它河道字高不变，宽度适当调整</w:t>
      </w:r>
      <w:r>
        <w:rPr>
          <w:color w:val="000000" w:themeColor="text1"/>
          <w:sz w:val="24"/>
          <w:u w:val="none"/>
          <w14:textFill>
            <w14:solidFill>
              <w14:schemeClr w14:val="tx1"/>
            </w14:solidFill>
          </w14:textFill>
        </w:rPr>
        <w:t>）、管理</w:t>
      </w:r>
      <w:r>
        <w:rPr>
          <w:rFonts w:hint="eastAsia"/>
          <w:color w:val="000000" w:themeColor="text1"/>
          <w:sz w:val="24"/>
          <w:u w:val="none"/>
          <w14:textFill>
            <w14:solidFill>
              <w14:schemeClr w14:val="tx1"/>
            </w14:solidFill>
          </w14:textFill>
        </w:rPr>
        <w:t>范围</w:t>
      </w:r>
      <w:r>
        <w:rPr>
          <w:color w:val="000000" w:themeColor="text1"/>
          <w:sz w:val="24"/>
          <w:u w:val="none"/>
          <w14:textFill>
            <w14:solidFill>
              <w14:schemeClr w14:val="tx1"/>
            </w14:solidFill>
          </w14:textFill>
        </w:rPr>
        <w:t>线（蓝色</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字规格为4</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4</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，字间距10mm</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、喷涂编码（红色，字规格为35mm×35</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，间距5mm），下排居中为“</w:t>
      </w:r>
      <w:r>
        <w:rPr>
          <w:rFonts w:hint="eastAsia" w:ascii="宋体" w:hAnsi="宋体"/>
          <w:color w:val="000000" w:themeColor="text1"/>
          <w:sz w:val="24"/>
          <w:u w:val="none"/>
          <w14:textFill>
            <w14:solidFill>
              <w14:schemeClr w14:val="tx1"/>
            </w14:solidFill>
          </w14:textFill>
        </w:rPr>
        <w:t>本溪市</w:t>
      </w:r>
      <w:r>
        <w:rPr>
          <w:rFonts w:hint="eastAsia"/>
          <w:color w:val="000000" w:themeColor="text1"/>
          <w:sz w:val="24"/>
          <w:u w:val="none"/>
          <w14:textFill>
            <w14:solidFill>
              <w14:schemeClr w14:val="tx1"/>
            </w14:solidFill>
          </w14:textFill>
        </w:rPr>
        <w:t>人民政府”（红色，字规格为30mm×30</w:t>
      </w:r>
      <w:r>
        <w:rPr>
          <w:color w:val="000000" w:themeColor="text1"/>
          <w:sz w:val="24"/>
          <w:u w:val="none"/>
          <w14:textFill>
            <w14:solidFill>
              <w14:schemeClr w14:val="tx1"/>
            </w14:solidFill>
          </w14:textFill>
        </w:rPr>
        <w:t>mm</w:t>
      </w:r>
      <w:r>
        <w:rPr>
          <w:rFonts w:hint="eastAsia"/>
          <w:color w:val="000000" w:themeColor="text1"/>
          <w:sz w:val="24"/>
          <w:u w:val="none"/>
          <w14:textFill>
            <w14:solidFill>
              <w14:schemeClr w14:val="tx1"/>
            </w14:solidFill>
          </w14:textFill>
        </w:rPr>
        <w:t>，字间距5mm，宽度适当调整）。喷涂编码字体为长仿宋</w:t>
      </w:r>
      <w:bookmarkStart w:id="40" w:name="_Toc440348815"/>
      <w:r>
        <w:rPr>
          <w:rFonts w:hint="eastAsia"/>
          <w:color w:val="000000" w:themeColor="text1"/>
          <w:sz w:val="24"/>
          <w:u w:val="none"/>
          <w14:textFill>
            <w14:solidFill>
              <w14:schemeClr w14:val="tx1"/>
            </w14:solidFill>
          </w14:textFill>
        </w:rPr>
        <w:t>，其余字体为隶书</w:t>
      </w:r>
      <w:bookmarkEnd w:id="40"/>
      <w:r>
        <w:rPr>
          <w:rFonts w:hint="eastAsia"/>
          <w:color w:val="000000" w:themeColor="text1"/>
          <w:sz w:val="24"/>
          <w:u w:val="none"/>
          <w14:textFill>
            <w14:solidFill>
              <w14:schemeClr w14:val="tx1"/>
            </w14:solidFill>
          </w14:textFill>
        </w:rPr>
        <w:t>。以上标志及文字均居中，数量较多的文字，可适当缩小其大小，以美观、清晰为宜；</w:t>
      </w:r>
    </w:p>
    <w:p>
      <w:pPr>
        <w:numPr>
          <w:ilvl w:val="0"/>
          <w:numId w:val="12"/>
        </w:numPr>
        <w:adjustRightInd w:val="0"/>
        <w:snapToGrid w:val="0"/>
        <w:spacing w:line="440" w:lineRule="exact"/>
        <w:ind w:firstLine="480" w:firstLineChars="200"/>
        <w:jc w:val="left"/>
        <w:rPr>
          <w:rFonts w:asci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制作材料</w:t>
      </w:r>
      <w:r>
        <w:rPr>
          <w:rFonts w:ascii="宋体" w:hAnsi="宋体"/>
          <w:color w:val="000000" w:themeColor="text1"/>
          <w:sz w:val="24"/>
          <w:u w:val="none"/>
          <w:shd w:val="clear" w:color="auto" w:fill="FFFFFF"/>
          <w14:textFill>
            <w14:solidFill>
              <w14:schemeClr w14:val="tx1"/>
            </w14:solidFill>
          </w14:textFill>
        </w:rPr>
        <w:t>:</w:t>
      </w:r>
      <w:r>
        <w:rPr>
          <w:rFonts w:hint="eastAsia" w:ascii="宋体" w:hAnsi="宋体"/>
          <w:color w:val="000000" w:themeColor="text1"/>
          <w:sz w:val="24"/>
          <w:u w:val="none"/>
          <w:shd w:val="clear" w:color="auto" w:fill="FFFFFF"/>
          <w14:textFill>
            <w14:solidFill>
              <w14:schemeClr w14:val="tx1"/>
            </w14:solidFill>
          </w14:textFill>
        </w:rPr>
        <w:t>预制</w:t>
      </w:r>
      <w:r>
        <w:rPr>
          <w:rFonts w:ascii="宋体" w:hAnsi="宋体"/>
          <w:color w:val="000000" w:themeColor="text1"/>
          <w:sz w:val="24"/>
          <w:u w:val="none"/>
          <w:shd w:val="clear" w:color="auto" w:fill="FFFFFF"/>
          <w14:textFill>
            <w14:solidFill>
              <w14:schemeClr w14:val="tx1"/>
            </w14:solidFill>
          </w14:textFill>
        </w:rPr>
        <w:t>500mm*400mm</w:t>
      </w:r>
      <w:r>
        <w:rPr>
          <w:rFonts w:hint="eastAsia" w:ascii="宋体" w:hAnsi="宋体"/>
          <w:color w:val="000000" w:themeColor="text1"/>
          <w:sz w:val="24"/>
          <w:u w:val="none"/>
          <w:shd w:val="clear" w:color="auto" w:fill="FFFFFF"/>
          <w14:textFill>
            <w14:solidFill>
              <w14:schemeClr w14:val="tx1"/>
            </w14:solidFill>
          </w14:textFill>
        </w:rPr>
        <w:t>矩形白钢，背景颜色为银白色。</w:t>
      </w:r>
    </w:p>
    <w:p>
      <w:pPr>
        <w:numPr>
          <w:ilvl w:val="0"/>
          <w:numId w:val="12"/>
        </w:numPr>
        <w:adjustRightInd w:val="0"/>
        <w:snapToGrid w:val="0"/>
        <w:spacing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埋设位置：简易管理牌埋设位置根据《</w:t>
      </w:r>
      <w:r>
        <w:rPr>
          <w:rFonts w:hint="eastAsia"/>
          <w:color w:val="000000" w:themeColor="text1"/>
          <w:sz w:val="24"/>
          <w:u w:val="none"/>
          <w14:textFill>
            <w14:solidFill>
              <w14:schemeClr w14:val="tx1"/>
            </w14:solidFill>
          </w14:textFill>
        </w:rPr>
        <w:t>xx河河道和水利工程管理范围划界报告</w:t>
      </w:r>
      <w:r>
        <w:rPr>
          <w:rFonts w:hint="eastAsia" w:ascii="宋体" w:hAnsi="宋体"/>
          <w:color w:val="000000" w:themeColor="text1"/>
          <w:sz w:val="24"/>
          <w:u w:val="none"/>
          <w:shd w:val="clear" w:color="auto" w:fill="FFFFFF"/>
          <w14:textFill>
            <w14:solidFill>
              <w14:schemeClr w14:val="tx1"/>
            </w14:solidFill>
          </w14:textFill>
        </w:rPr>
        <w:t xml:space="preserve">》中的附图及本章5.1.2第4条进行布设。 </w:t>
      </w:r>
    </w:p>
    <w:p>
      <w:pPr>
        <w:pStyle w:val="5"/>
        <w:jc w:val="left"/>
        <w:rPr>
          <w:rFonts w:ascii="宋体" w:hAnsi="宋体" w:eastAsia="宋体"/>
          <w:color w:val="000000" w:themeColor="text1"/>
          <w:sz w:val="24"/>
          <w:szCs w:val="24"/>
          <w:u w:val="none"/>
          <w14:textFill>
            <w14:solidFill>
              <w14:schemeClr w14:val="tx1"/>
            </w14:solidFill>
          </w14:textFill>
        </w:rPr>
      </w:pPr>
      <w:r>
        <w:rPr>
          <w:rFonts w:hint="eastAsia" w:ascii="宋体" w:hAnsi="宋体" w:eastAsia="宋体"/>
          <w:color w:val="000000" w:themeColor="text1"/>
          <w:sz w:val="21"/>
          <w:szCs w:val="21"/>
          <w:u w:val="none"/>
          <w14:textFill>
            <w14:solidFill>
              <w14:schemeClr w14:val="tx1"/>
            </w14:solidFill>
          </w14:textFill>
        </w:rPr>
        <w:t xml:space="preserve">          表5-1</w:t>
      </w:r>
      <w:r>
        <w:rPr>
          <w:rFonts w:hint="eastAsia" w:ascii="宋体" w:hAnsi="宋体" w:eastAsia="宋体"/>
          <w:color w:val="000000" w:themeColor="text1"/>
          <w:sz w:val="24"/>
          <w:szCs w:val="24"/>
          <w:u w:val="none"/>
          <w14:textFill>
            <w14:solidFill>
              <w14:schemeClr w14:val="tx1"/>
            </w14:solidFill>
          </w14:textFill>
        </w:rPr>
        <w:t xml:space="preserve">                   河道划界工作量表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5"/>
        <w:gridCol w:w="1757"/>
        <w:gridCol w:w="156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blHeader/>
          <w:jc w:val="center"/>
        </w:trPr>
        <w:tc>
          <w:tcPr>
            <w:tcW w:w="993" w:type="dxa"/>
            <w:noWrap w:val="0"/>
            <w:vAlign w:val="center"/>
          </w:tcPr>
          <w:p>
            <w:pPr>
              <w:widowControl/>
              <w:jc w:val="center"/>
              <w:rPr>
                <w:rFonts w:hint="eastAsia"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序号</w:t>
            </w:r>
          </w:p>
        </w:tc>
        <w:tc>
          <w:tcPr>
            <w:tcW w:w="1135" w:type="dxa"/>
            <w:noWrap w:val="0"/>
            <w:vAlign w:val="center"/>
          </w:tcPr>
          <w:p>
            <w:pPr>
              <w:widowControl/>
              <w:jc w:val="center"/>
              <w:rPr>
                <w:rFonts w:hint="eastAsia"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河道名称</w:t>
            </w:r>
          </w:p>
        </w:tc>
        <w:tc>
          <w:tcPr>
            <w:tcW w:w="1757" w:type="dxa"/>
            <w:noWrap w:val="0"/>
            <w:vAlign w:val="center"/>
          </w:tcPr>
          <w:p>
            <w:pPr>
              <w:widowControl/>
              <w:jc w:val="center"/>
              <w:rPr>
                <w:rFonts w:hint="eastAsia"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河道长度（KM）</w:t>
            </w:r>
          </w:p>
        </w:tc>
        <w:tc>
          <w:tcPr>
            <w:tcW w:w="1560" w:type="dxa"/>
            <w:noWrap w:val="0"/>
            <w:vAlign w:val="center"/>
          </w:tcPr>
          <w:p>
            <w:pPr>
              <w:widowControl/>
              <w:jc w:val="center"/>
              <w:rPr>
                <w:rFonts w:hint="eastAsia"/>
                <w:color w:val="000000" w:themeColor="text1"/>
                <w:kern w:val="0"/>
                <w:sz w:val="21"/>
                <w:szCs w:val="21"/>
                <w:u w:val="none"/>
                <w14:textFill>
                  <w14:solidFill>
                    <w14:schemeClr w14:val="tx1"/>
                  </w14:solidFill>
                </w14:textFill>
              </w:rPr>
            </w:pPr>
            <w:r>
              <w:rPr>
                <w:rFonts w:hint="eastAsia"/>
                <w:color w:val="000000" w:themeColor="text1"/>
                <w:kern w:val="0"/>
                <w:szCs w:val="21"/>
                <w:u w:val="none"/>
                <w14:textFill>
                  <w14:solidFill>
                    <w14:schemeClr w14:val="tx1"/>
                  </w14:solidFill>
                </w14:textFill>
              </w:rPr>
              <w:t>划界长度（KM）</w:t>
            </w:r>
          </w:p>
        </w:tc>
        <w:tc>
          <w:tcPr>
            <w:tcW w:w="2550" w:type="dxa"/>
            <w:noWrap w:val="0"/>
            <w:vAlign w:val="center"/>
          </w:tcPr>
          <w:p>
            <w:pPr>
              <w:widowControl/>
              <w:jc w:val="center"/>
              <w:rPr>
                <w:rFonts w:hint="eastAsia"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界桩制作及埋设（个）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93" w:type="dxa"/>
            <w:noWrap w:val="0"/>
            <w:vAlign w:val="center"/>
          </w:tcPr>
          <w:p>
            <w:pPr>
              <w:widowControl/>
              <w:jc w:val="center"/>
              <w:rPr>
                <w:rFonts w:ascii="宋体" w:hAnsi="宋体" w:cs="宋体"/>
                <w:color w:val="000000" w:themeColor="text1"/>
                <w:kern w:val="0"/>
                <w:sz w:val="21"/>
                <w:szCs w:val="21"/>
                <w:u w:val="none"/>
                <w14:textFill>
                  <w14:solidFill>
                    <w14:schemeClr w14:val="tx1"/>
                  </w14:solidFill>
                </w14:textFill>
              </w:rPr>
            </w:pPr>
            <w:r>
              <w:rPr>
                <w:rFonts w:ascii="宋体" w:hAnsi="宋体" w:cs="宋体"/>
                <w:color w:val="000000" w:themeColor="text1"/>
                <w:kern w:val="0"/>
                <w:sz w:val="21"/>
                <w:szCs w:val="21"/>
                <w:u w:val="none"/>
                <w14:textFill>
                  <w14:solidFill>
                    <w14:schemeClr w14:val="tx1"/>
                  </w14:solidFill>
                </w14:textFill>
              </w:rPr>
              <w:t>1</w:t>
            </w:r>
          </w:p>
        </w:tc>
        <w:tc>
          <w:tcPr>
            <w:tcW w:w="1135" w:type="dxa"/>
            <w:noWrap w:val="0"/>
            <w:vAlign w:val="center"/>
          </w:tcPr>
          <w:p>
            <w:pPr>
              <w:widowControl/>
              <w:jc w:val="center"/>
              <w:rPr>
                <w:rFonts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 w:val="21"/>
                <w:szCs w:val="21"/>
                <w:u w:val="none"/>
                <w14:textFill>
                  <w14:solidFill>
                    <w14:schemeClr w14:val="tx1"/>
                  </w14:solidFill>
                </w14:textFill>
              </w:rPr>
              <w:t>太子河</w:t>
            </w:r>
          </w:p>
        </w:tc>
        <w:tc>
          <w:tcPr>
            <w:tcW w:w="1757" w:type="dxa"/>
            <w:noWrap w:val="0"/>
            <w:vAlign w:val="center"/>
          </w:tcPr>
          <w:p>
            <w:pPr>
              <w:jc w:val="center"/>
              <w:rPr>
                <w:rFonts w:ascii="宋体" w:hAnsi="宋体" w:cs="宋体"/>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80</w:t>
            </w:r>
          </w:p>
        </w:tc>
        <w:tc>
          <w:tcPr>
            <w:tcW w:w="1560" w:type="dxa"/>
            <w:noWrap w:val="0"/>
            <w:vAlign w:val="center"/>
          </w:tcPr>
          <w:p>
            <w:pPr>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160</w:t>
            </w:r>
          </w:p>
        </w:tc>
        <w:tc>
          <w:tcPr>
            <w:tcW w:w="2550" w:type="dxa"/>
            <w:noWrap w:val="0"/>
            <w:vAlign w:val="center"/>
          </w:tcPr>
          <w:p>
            <w:pPr>
              <w:jc w:val="center"/>
              <w:rPr>
                <w:rFonts w:ascii="宋体" w:hAnsi="宋体" w:cs="宋体"/>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93" w:type="dxa"/>
            <w:noWrap w:val="0"/>
            <w:vAlign w:val="center"/>
          </w:tcPr>
          <w:p>
            <w:pPr>
              <w:widowControl/>
              <w:jc w:val="center"/>
              <w:rPr>
                <w:rFonts w:ascii="宋体" w:hAnsi="宋体" w:cs="宋体"/>
                <w:color w:val="000000" w:themeColor="text1"/>
                <w:kern w:val="0"/>
                <w:sz w:val="21"/>
                <w:szCs w:val="21"/>
                <w:u w:val="none"/>
                <w14:textFill>
                  <w14:solidFill>
                    <w14:schemeClr w14:val="tx1"/>
                  </w14:solidFill>
                </w14:textFill>
              </w:rPr>
            </w:pPr>
            <w:r>
              <w:rPr>
                <w:rFonts w:ascii="宋体" w:hAnsi="宋体" w:cs="宋体"/>
                <w:color w:val="000000" w:themeColor="text1"/>
                <w:kern w:val="0"/>
                <w:sz w:val="21"/>
                <w:szCs w:val="21"/>
                <w:u w:val="none"/>
                <w14:textFill>
                  <w14:solidFill>
                    <w14:schemeClr w14:val="tx1"/>
                  </w14:solidFill>
                </w14:textFill>
              </w:rPr>
              <w:t>2</w:t>
            </w:r>
          </w:p>
        </w:tc>
        <w:tc>
          <w:tcPr>
            <w:tcW w:w="1135" w:type="dxa"/>
            <w:noWrap w:val="0"/>
            <w:vAlign w:val="center"/>
          </w:tcPr>
          <w:p>
            <w:pPr>
              <w:widowControl/>
              <w:jc w:val="center"/>
              <w:rPr>
                <w:rFonts w:ascii="宋体" w:hAnsi="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 w:val="21"/>
                <w:szCs w:val="21"/>
                <w:u w:val="none"/>
                <w14:textFill>
                  <w14:solidFill>
                    <w14:schemeClr w14:val="tx1"/>
                  </w14:solidFill>
                </w14:textFill>
              </w:rPr>
              <w:t>细河</w:t>
            </w:r>
          </w:p>
        </w:tc>
        <w:tc>
          <w:tcPr>
            <w:tcW w:w="1757" w:type="dxa"/>
            <w:noWrap w:val="0"/>
            <w:vAlign w:val="center"/>
          </w:tcPr>
          <w:p>
            <w:pPr>
              <w:jc w:val="center"/>
              <w:rPr>
                <w:rFonts w:ascii="宋体" w:hAnsi="宋体" w:cs="宋体"/>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85</w:t>
            </w:r>
          </w:p>
        </w:tc>
        <w:tc>
          <w:tcPr>
            <w:tcW w:w="1560" w:type="dxa"/>
            <w:noWrap w:val="0"/>
            <w:vAlign w:val="center"/>
          </w:tcPr>
          <w:p>
            <w:pPr>
              <w:jc w:val="center"/>
              <w:rPr>
                <w:rFonts w:ascii="宋体" w:hAnsi="宋体" w:cs="宋体"/>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170</w:t>
            </w:r>
          </w:p>
        </w:tc>
        <w:tc>
          <w:tcPr>
            <w:tcW w:w="2550" w:type="dxa"/>
            <w:noWrap w:val="0"/>
            <w:vAlign w:val="center"/>
          </w:tcPr>
          <w:p>
            <w:pPr>
              <w:jc w:val="center"/>
              <w:rPr>
                <w:rFonts w:ascii="宋体" w:hAnsi="宋体" w:cs="宋体"/>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28" w:type="dxa"/>
            <w:gridSpan w:val="2"/>
            <w:noWrap w:val="0"/>
            <w:vAlign w:val="center"/>
          </w:tcPr>
          <w:p>
            <w:pPr>
              <w:widowControl/>
              <w:jc w:val="center"/>
              <w:rPr>
                <w:rFonts w:ascii="宋体" w:hAnsi="宋体" w:cs="宋体"/>
                <w:b/>
                <w:bCs/>
                <w:color w:val="000000" w:themeColor="text1"/>
                <w:kern w:val="0"/>
                <w:sz w:val="21"/>
                <w:szCs w:val="21"/>
                <w:u w:val="none"/>
                <w14:textFill>
                  <w14:solidFill>
                    <w14:schemeClr w14:val="tx1"/>
                  </w14:solidFill>
                </w14:textFill>
              </w:rPr>
            </w:pPr>
            <w:r>
              <w:rPr>
                <w:rFonts w:hint="eastAsia" w:ascii="宋体" w:hAnsi="宋体" w:cs="宋体"/>
                <w:b/>
                <w:bCs/>
                <w:color w:val="000000" w:themeColor="text1"/>
                <w:kern w:val="0"/>
                <w:sz w:val="21"/>
                <w:szCs w:val="21"/>
                <w:u w:val="none"/>
                <w14:textFill>
                  <w14:solidFill>
                    <w14:schemeClr w14:val="tx1"/>
                  </w14:solidFill>
                </w14:textFill>
              </w:rPr>
              <w:t>合计</w:t>
            </w:r>
          </w:p>
        </w:tc>
        <w:tc>
          <w:tcPr>
            <w:tcW w:w="1757" w:type="dxa"/>
            <w:noWrap w:val="0"/>
            <w:vAlign w:val="center"/>
          </w:tcPr>
          <w:p>
            <w:pPr>
              <w:widowControl/>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165</w:t>
            </w:r>
            <w:r>
              <w:rPr>
                <w:rFonts w:hint="eastAsia"/>
                <w:b/>
                <w:bCs/>
                <w:color w:val="000000" w:themeColor="text1"/>
                <w:kern w:val="0"/>
                <w:sz w:val="21"/>
                <w:szCs w:val="21"/>
                <w:u w:val="none"/>
                <w14:textFill>
                  <w14:solidFill>
                    <w14:schemeClr w14:val="tx1"/>
                  </w14:solidFill>
                </w14:textFill>
              </w:rPr>
              <w:t>　</w:t>
            </w:r>
          </w:p>
        </w:tc>
        <w:tc>
          <w:tcPr>
            <w:tcW w:w="1560" w:type="dxa"/>
            <w:noWrap w:val="0"/>
            <w:vAlign w:val="center"/>
          </w:tcPr>
          <w:p>
            <w:pPr>
              <w:jc w:val="center"/>
              <w:rPr>
                <w:rFonts w:ascii="宋体" w:hAnsi="宋体" w:cs="宋体"/>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330</w:t>
            </w:r>
          </w:p>
        </w:tc>
        <w:tc>
          <w:tcPr>
            <w:tcW w:w="2550" w:type="dxa"/>
            <w:noWrap w:val="0"/>
            <w:vAlign w:val="center"/>
          </w:tcPr>
          <w:p>
            <w:pPr>
              <w:jc w:val="center"/>
              <w:rPr>
                <w:rFonts w:ascii="宋体" w:hAnsi="宋体" w:cs="宋体"/>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3300</w:t>
            </w:r>
          </w:p>
        </w:tc>
      </w:tr>
    </w:tbl>
    <w:p>
      <w:pPr>
        <w:pStyle w:val="3"/>
        <w:numPr>
          <w:ilvl w:val="0"/>
          <w:numId w:val="0"/>
        </w:numPr>
        <w:spacing w:beforeLines="0" w:afterLines="0" w:line="440" w:lineRule="exact"/>
        <w:jc w:val="left"/>
        <w:rPr>
          <w:color w:val="000000" w:themeColor="text1"/>
          <w:sz w:val="24"/>
          <w:szCs w:val="24"/>
          <w:u w:val="none"/>
          <w14:textFill>
            <w14:solidFill>
              <w14:schemeClr w14:val="tx1"/>
            </w14:solidFill>
          </w14:textFill>
        </w:rPr>
      </w:pPr>
      <w:bookmarkStart w:id="41" w:name="_Toc5600"/>
      <w:r>
        <w:rPr>
          <w:rFonts w:hint="eastAsia"/>
          <w:color w:val="000000" w:themeColor="text1"/>
          <w:sz w:val="24"/>
          <w:szCs w:val="24"/>
          <w:u w:val="none"/>
          <w14:textFill>
            <w14:solidFill>
              <w14:schemeClr w14:val="tx1"/>
            </w14:solidFill>
          </w14:textFill>
        </w:rPr>
        <w:t>5.2实施安排</w:t>
      </w:r>
      <w:bookmarkEnd w:id="41"/>
    </w:p>
    <w:p>
      <w:pPr>
        <w:tabs>
          <w:tab w:val="left" w:pos="0"/>
        </w:tabs>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5.2.1进度要求</w:t>
      </w:r>
    </w:p>
    <w:p>
      <w:p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结合</w:t>
      </w:r>
      <w:r>
        <w:rPr>
          <w:rFonts w:hint="eastAsia" w:ascii="宋体" w:hAnsi="宋体"/>
          <w:color w:val="000000" w:themeColor="text1"/>
          <w:sz w:val="24"/>
          <w:u w:val="none"/>
          <w14:textFill>
            <w14:solidFill>
              <w14:schemeClr w14:val="tx1"/>
            </w14:solidFill>
          </w14:textFill>
        </w:rPr>
        <w:t>本溪市本级河道管理</w:t>
      </w:r>
      <w:r>
        <w:rPr>
          <w:rFonts w:hint="eastAsia" w:ascii="宋体" w:hAnsi="宋体" w:cs="宋体"/>
          <w:color w:val="000000" w:themeColor="text1"/>
          <w:sz w:val="24"/>
          <w:u w:val="none"/>
          <w14:textFill>
            <w14:solidFill>
              <w14:schemeClr w14:val="tx1"/>
            </w14:solidFill>
          </w14:textFill>
        </w:rPr>
        <w:t>实际情况，设定的划界阶段目标和任务为：</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①2018年底前完成太子河本溪市城区段的管理</w:t>
      </w:r>
      <w:r>
        <w:rPr>
          <w:rFonts w:hint="eastAsia" w:ascii="Times New Roman" w:hAnsi="Times New Roman"/>
          <w:color w:val="000000" w:themeColor="text1"/>
          <w:sz w:val="24"/>
          <w:u w:val="none"/>
          <w14:textFill>
            <w14:solidFill>
              <w14:schemeClr w14:val="tx1"/>
            </w14:solidFill>
          </w14:textFill>
        </w:rPr>
        <w:t>范围划定</w:t>
      </w:r>
      <w:r>
        <w:rPr>
          <w:rFonts w:hint="eastAsia"/>
          <w:color w:val="000000" w:themeColor="text1"/>
          <w:sz w:val="24"/>
          <w:u w:val="none"/>
          <w14:textFill>
            <w14:solidFill>
              <w14:schemeClr w14:val="tx1"/>
            </w14:solidFill>
          </w14:textFill>
        </w:rPr>
        <w:t>，划界长度为53.70km；</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②2020年底前完成太子河剩余段和细河的管理</w:t>
      </w:r>
      <w:r>
        <w:rPr>
          <w:rFonts w:hint="eastAsia" w:ascii="Times New Roman" w:hAnsi="Times New Roman"/>
          <w:color w:val="000000" w:themeColor="text1"/>
          <w:sz w:val="24"/>
          <w:u w:val="none"/>
          <w14:textFill>
            <w14:solidFill>
              <w14:schemeClr w14:val="tx1"/>
            </w14:solidFill>
          </w14:textFill>
        </w:rPr>
        <w:t>范围划定</w:t>
      </w:r>
      <w:r>
        <w:rPr>
          <w:rFonts w:hint="eastAsia"/>
          <w:color w:val="000000" w:themeColor="text1"/>
          <w:sz w:val="24"/>
          <w:u w:val="none"/>
          <w14:textFill>
            <w14:solidFill>
              <w14:schemeClr w14:val="tx1"/>
            </w14:solidFill>
          </w14:textFill>
        </w:rPr>
        <w:t>，划界长度为277km</w:t>
      </w:r>
      <w:r>
        <w:rPr>
          <w:rFonts w:hint="eastAsia" w:ascii="宋体" w:hAnsi="宋体" w:cs="宋体"/>
          <w:color w:val="000000" w:themeColor="text1"/>
          <w:kern w:val="0"/>
          <w:sz w:val="24"/>
          <w:u w:val="none"/>
          <w14:textFill>
            <w14:solidFill>
              <w14:schemeClr w14:val="tx1"/>
            </w14:solidFill>
          </w14:textFill>
        </w:rPr>
        <w:t>。</w:t>
      </w:r>
    </w:p>
    <w:p>
      <w:pPr>
        <w:tabs>
          <w:tab w:val="left" w:pos="0"/>
        </w:tabs>
        <w:spacing w:before="166" w:after="166" w:line="440" w:lineRule="exact"/>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完成年度阶段任务后，经本溪市人民政府组织考核验收，按照管理权限定期向社会公布划界成果。</w:t>
      </w:r>
    </w:p>
    <w:p>
      <w:pPr>
        <w:tabs>
          <w:tab w:val="left" w:pos="0"/>
        </w:tabs>
        <w:spacing w:before="166" w:after="166"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5.2.2界定桩实施</w:t>
      </w:r>
    </w:p>
    <w:p>
      <w:pPr>
        <w:tabs>
          <w:tab w:val="left" w:pos="0"/>
        </w:tabs>
        <w:spacing w:before="166" w:after="166"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5.2.2.1界桩测量放样技术要求</w:t>
      </w:r>
    </w:p>
    <w:p>
      <w:pPr>
        <w:pStyle w:val="7"/>
        <w:adjustRightInd w:val="0"/>
        <w:snapToGrid w:val="0"/>
        <w:spacing w:line="440" w:lineRule="exact"/>
        <w:ind w:firstLine="0" w:firstLineChars="0"/>
        <w:jc w:val="left"/>
        <w:rPr>
          <w:rFonts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 xml:space="preserve">    （1）界桩点应</w:t>
      </w:r>
      <w:r>
        <w:rPr>
          <w:rFonts w:hint="eastAsia"/>
          <w:color w:val="000000" w:themeColor="text1"/>
          <w:u w:val="none"/>
          <w:shd w:val="clear" w:color="auto" w:fill="FFFFFF"/>
          <w14:textFill>
            <w14:solidFill>
              <w14:schemeClr w14:val="tx1"/>
            </w14:solidFill>
          </w14:textFill>
        </w:rPr>
        <w:t>根据《</w:t>
      </w:r>
      <w:r>
        <w:rPr>
          <w:rFonts w:hint="eastAsia"/>
          <w:color w:val="000000" w:themeColor="text1"/>
          <w:u w:val="none"/>
          <w14:textFill>
            <w14:solidFill>
              <w14:schemeClr w14:val="tx1"/>
            </w14:solidFill>
          </w14:textFill>
        </w:rPr>
        <w:t>xx河河道和水利工程管理范围划界报告</w:t>
      </w:r>
      <w:r>
        <w:rPr>
          <w:rFonts w:hint="eastAsia"/>
          <w:color w:val="000000" w:themeColor="text1"/>
          <w:u w:val="none"/>
          <w:shd w:val="clear" w:color="auto" w:fill="FFFFFF"/>
          <w14:textFill>
            <w14:solidFill>
              <w14:schemeClr w14:val="tx1"/>
            </w14:solidFill>
          </w14:textFill>
        </w:rPr>
        <w:t>》中的附图放样</w:t>
      </w:r>
      <w:r>
        <w:rPr>
          <w:rFonts w:hint="eastAsia" w:ascii="Times New Roman" w:hAnsi="Times New Roman" w:cs="Times New Roman"/>
          <w:color w:val="000000" w:themeColor="text1"/>
          <w:u w:val="none"/>
          <w14:textFill>
            <w14:solidFill>
              <w14:schemeClr w14:val="tx1"/>
            </w14:solidFill>
          </w14:textFill>
        </w:rPr>
        <w:t>。</w:t>
      </w:r>
    </w:p>
    <w:p>
      <w:pPr>
        <w:pStyle w:val="7"/>
        <w:adjustRightInd w:val="0"/>
        <w:snapToGrid w:val="0"/>
        <w:spacing w:line="440" w:lineRule="exact"/>
        <w:jc w:val="left"/>
        <w:rPr>
          <w:rFonts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（2）界桩理论位置在实地因故无法埋设，必须进行横向位移时，应测量出实地位置点坐标，并做好记录。界桩布设方式</w:t>
      </w:r>
      <w:r>
        <w:rPr>
          <w:rFonts w:hint="eastAsia"/>
          <w:color w:val="000000" w:themeColor="text1"/>
          <w:u w:val="none"/>
          <w14:textFill>
            <w14:solidFill>
              <w14:schemeClr w14:val="tx1"/>
            </w14:solidFill>
          </w14:textFill>
        </w:rPr>
        <w:t>参照第4章4.2.4第一条说明进行</w:t>
      </w:r>
      <w:r>
        <w:rPr>
          <w:rFonts w:hint="eastAsia" w:ascii="Times New Roman" w:hAnsi="Times New Roman" w:cs="Times New Roman"/>
          <w:color w:val="000000" w:themeColor="text1"/>
          <w:u w:val="none"/>
          <w14:textFill>
            <w14:solidFill>
              <w14:schemeClr w14:val="tx1"/>
            </w14:solidFill>
          </w14:textFill>
        </w:rPr>
        <w:t>；内业在界线图上应将此类移位界桩点作明确标示，并在界桩点成果表中标注；</w:t>
      </w:r>
    </w:p>
    <w:p>
      <w:pPr>
        <w:pStyle w:val="7"/>
        <w:adjustRightInd w:val="0"/>
        <w:snapToGrid w:val="0"/>
        <w:spacing w:line="440" w:lineRule="exact"/>
        <w:jc w:val="left"/>
        <w:rPr>
          <w:rFonts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（3）界桩点放样前应对测站和方向点的坐标进行检核，满足规范要求后方能进行放样；</w:t>
      </w:r>
    </w:p>
    <w:p>
      <w:pPr>
        <w:pStyle w:val="7"/>
        <w:adjustRightInd w:val="0"/>
        <w:snapToGrid w:val="0"/>
        <w:spacing w:line="440" w:lineRule="exact"/>
        <w:jc w:val="left"/>
        <w:rPr>
          <w:rFonts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（4）界桩点相对于邻近控制点的点位中误差不应大于±</w:t>
      </w:r>
      <w:r>
        <w:rPr>
          <w:rFonts w:ascii="Times New Roman" w:hAnsi="Times New Roman" w:cs="Times New Roman"/>
          <w:color w:val="000000" w:themeColor="text1"/>
          <w:u w:val="none"/>
          <w14:textFill>
            <w14:solidFill>
              <w14:schemeClr w14:val="tx1"/>
            </w14:solidFill>
          </w14:textFill>
        </w:rPr>
        <w:t>10</w:t>
      </w:r>
      <w:r>
        <w:rPr>
          <w:rFonts w:hint="eastAsia" w:ascii="Times New Roman" w:hAnsi="Times New Roman" w:cs="Times New Roman"/>
          <w:color w:val="000000" w:themeColor="text1"/>
          <w:u w:val="none"/>
          <w14:textFill>
            <w14:solidFill>
              <w14:schemeClr w14:val="tx1"/>
            </w14:solidFill>
          </w14:textFill>
        </w:rPr>
        <w:t>cm；按洪水位确定的界桩点高程中误差不应大于±</w:t>
      </w:r>
      <w:r>
        <w:rPr>
          <w:rFonts w:ascii="Times New Roman" w:hAnsi="Times New Roman" w:cs="Times New Roman"/>
          <w:color w:val="000000" w:themeColor="text1"/>
          <w:u w:val="none"/>
          <w14:textFill>
            <w14:solidFill>
              <w14:schemeClr w14:val="tx1"/>
            </w14:solidFill>
          </w14:textFill>
        </w:rPr>
        <w:t>15</w:t>
      </w:r>
      <w:r>
        <w:rPr>
          <w:rFonts w:hint="eastAsia" w:ascii="Times New Roman" w:hAnsi="Times New Roman" w:cs="Times New Roman"/>
          <w:color w:val="000000" w:themeColor="text1"/>
          <w:u w:val="none"/>
          <w14:textFill>
            <w14:solidFill>
              <w14:schemeClr w14:val="tx1"/>
            </w14:solidFill>
          </w14:textFill>
        </w:rPr>
        <w:t>cm。</w:t>
      </w:r>
    </w:p>
    <w:p>
      <w:pPr>
        <w:spacing w:before="0" w:after="0" w:line="440" w:lineRule="exact"/>
        <w:jc w:val="left"/>
        <w:rPr>
          <w:color w:val="000000" w:themeColor="text1"/>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 xml:space="preserve">   5.2.2.2 桩牌施工技术指标</w:t>
      </w:r>
    </w:p>
    <w:p>
      <w:pPr>
        <w:spacing w:before="0" w:after="0" w:line="440" w:lineRule="exact"/>
        <w:ind w:firstLine="480" w:firstLineChars="200"/>
        <w:jc w:val="left"/>
        <w:rPr>
          <w:rFonts w:ascii="宋体" w:hAnsi="宋体" w:cs="Courier New"/>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（1）桩牌质量</w:t>
      </w:r>
    </w:p>
    <w:p>
      <w:pPr>
        <w:spacing w:before="0" w:after="0" w:line="440" w:lineRule="exact"/>
        <w:ind w:firstLine="480" w:firstLineChars="200"/>
        <w:jc w:val="left"/>
        <w:rPr>
          <w:rFonts w:ascii="宋体" w:hAnsi="宋体" w:cs="Courier New"/>
          <w:color w:val="000000" w:themeColor="text1"/>
          <w:sz w:val="24"/>
          <w:u w:val="none"/>
          <w14:textFill>
            <w14:solidFill>
              <w14:schemeClr w14:val="tx1"/>
            </w14:solidFill>
          </w14:textFill>
        </w:rPr>
      </w:pPr>
      <w:r>
        <w:rPr>
          <w:rFonts w:ascii="宋体" w:hAnsi="宋体" w:cs="Courier New"/>
          <w:color w:val="000000" w:themeColor="text1"/>
          <w:sz w:val="24"/>
          <w:u w:val="none"/>
          <w14:textFill>
            <w14:solidFill>
              <w14:schemeClr w14:val="tx1"/>
            </w14:solidFill>
          </w14:textFill>
        </w:rPr>
        <w:t>1</w:t>
      </w:r>
      <w:r>
        <w:rPr>
          <w:rFonts w:hint="eastAsia" w:ascii="宋体" w:hAnsi="宋体" w:cs="Courier New"/>
          <w:color w:val="000000" w:themeColor="text1"/>
          <w:sz w:val="24"/>
          <w:u w:val="none"/>
          <w14:textFill>
            <w14:solidFill>
              <w14:schemeClr w14:val="tx1"/>
            </w14:solidFill>
          </w14:textFill>
        </w:rPr>
        <w:t>）材质要求：</w:t>
      </w:r>
    </w:p>
    <w:p>
      <w:pPr>
        <w:spacing w:before="0" w:after="0" w:line="440" w:lineRule="exact"/>
        <w:ind w:firstLine="480" w:firstLineChars="200"/>
        <w:jc w:val="left"/>
        <w:rPr>
          <w:rFonts w:ascii="宋体" w:hAnsi="宋体" w:cs="Courier New"/>
          <w:color w:val="000000" w:themeColor="text1"/>
          <w:sz w:val="24"/>
          <w:u w:val="none"/>
          <w14:textFill>
            <w14:solidFill>
              <w14:schemeClr w14:val="tx1"/>
            </w14:solidFill>
          </w14:textFill>
        </w:rPr>
      </w:pPr>
      <w:r>
        <w:rPr>
          <w:rFonts w:hint="eastAsia" w:ascii="宋体" w:hAnsi="宋体" w:cs="Courier New"/>
          <w:color w:val="000000" w:themeColor="text1"/>
          <w:sz w:val="24"/>
          <w:u w:val="none"/>
          <w14:textFill>
            <w14:solidFill>
              <w14:schemeClr w14:val="tx1"/>
            </w14:solidFill>
          </w14:textFill>
        </w:rPr>
        <w:t>①界桩桩体和</w:t>
      </w:r>
      <w:r>
        <w:rPr>
          <w:rFonts w:hint="eastAsia" w:ascii="宋体" w:hAnsi="宋体"/>
          <w:color w:val="000000" w:themeColor="text1"/>
          <w:sz w:val="24"/>
          <w:u w:val="none"/>
          <w14:textFill>
            <w14:solidFill>
              <w14:schemeClr w14:val="tx1"/>
            </w14:solidFill>
          </w14:textFill>
        </w:rPr>
        <w:t>管理线界牌</w:t>
      </w:r>
      <w:r>
        <w:rPr>
          <w:rFonts w:hint="eastAsia" w:ascii="宋体" w:hAnsi="宋体" w:cs="Courier New"/>
          <w:color w:val="000000" w:themeColor="text1"/>
          <w:sz w:val="24"/>
          <w:u w:val="none"/>
          <w14:textFill>
            <w14:solidFill>
              <w14:schemeClr w14:val="tx1"/>
            </w14:solidFill>
          </w14:textFill>
        </w:rPr>
        <w:t>应采用花岗岩，石材强度应不低于</w:t>
      </w:r>
      <w:r>
        <w:rPr>
          <w:rFonts w:ascii="宋体" w:hAnsi="宋体" w:cs="Courier New"/>
          <w:color w:val="000000" w:themeColor="text1"/>
          <w:sz w:val="24"/>
          <w:u w:val="none"/>
          <w14:textFill>
            <w14:solidFill>
              <w14:schemeClr w14:val="tx1"/>
            </w14:solidFill>
          </w14:textFill>
        </w:rPr>
        <w:t>40MPa</w:t>
      </w:r>
      <w:r>
        <w:rPr>
          <w:rFonts w:hint="eastAsia" w:ascii="宋体" w:hAnsi="宋体" w:cs="Courier New"/>
          <w:color w:val="000000" w:themeColor="text1"/>
          <w:sz w:val="24"/>
          <w:u w:val="none"/>
          <w14:textFill>
            <w14:solidFill>
              <w14:schemeClr w14:val="tx1"/>
            </w14:solidFill>
          </w14:textFill>
        </w:rPr>
        <w:t>。界桩基座采用现浇混凝土，混凝土强度不低于</w:t>
      </w:r>
      <w:r>
        <w:rPr>
          <w:rFonts w:ascii="宋体" w:hAnsi="宋体" w:cs="Courier New"/>
          <w:color w:val="000000" w:themeColor="text1"/>
          <w:sz w:val="24"/>
          <w:u w:val="none"/>
          <w14:textFill>
            <w14:solidFill>
              <w14:schemeClr w14:val="tx1"/>
            </w14:solidFill>
          </w14:textFill>
        </w:rPr>
        <w:t>C15</w:t>
      </w:r>
      <w:r>
        <w:rPr>
          <w:rFonts w:hint="eastAsia" w:ascii="宋体" w:hAnsi="宋体" w:cs="Courier New"/>
          <w:color w:val="000000" w:themeColor="text1"/>
          <w:sz w:val="24"/>
          <w:u w:val="none"/>
          <w14:textFill>
            <w14:solidFill>
              <w14:schemeClr w14:val="tx1"/>
            </w14:solidFill>
          </w14:textFill>
        </w:rPr>
        <w:t>。</w:t>
      </w:r>
    </w:p>
    <w:p>
      <w:pPr>
        <w:spacing w:before="0" w:after="0"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s="Courier New"/>
          <w:color w:val="000000" w:themeColor="text1"/>
          <w:sz w:val="24"/>
          <w:u w:val="none"/>
          <w14:textFill>
            <w14:solidFill>
              <w14:schemeClr w14:val="tx1"/>
            </w14:solidFill>
          </w14:textFill>
        </w:rPr>
        <w:t xml:space="preserve">② </w:t>
      </w:r>
      <w:r>
        <w:rPr>
          <w:rFonts w:hint="eastAsia" w:ascii="宋体" w:hAnsi="宋体"/>
          <w:color w:val="000000" w:themeColor="text1"/>
          <w:sz w:val="24"/>
          <w:u w:val="none"/>
          <w:shd w:val="clear" w:color="auto" w:fill="FFFFFF"/>
          <w14:textFill>
            <w14:solidFill>
              <w14:schemeClr w14:val="tx1"/>
            </w14:solidFill>
          </w14:textFill>
        </w:rPr>
        <w:t>简易管理牌采用2mm厚白钢。</w:t>
      </w:r>
    </w:p>
    <w:p>
      <w:pPr>
        <w:spacing w:before="0" w:after="0" w:line="440" w:lineRule="exact"/>
        <w:ind w:firstLine="480" w:firstLineChars="200"/>
        <w:jc w:val="left"/>
        <w:rPr>
          <w:rFonts w:ascii="宋体" w:hAnsi="宋体" w:cs="Courier New"/>
          <w:color w:val="000000" w:themeColor="text1"/>
          <w:sz w:val="24"/>
          <w:u w:val="none"/>
          <w14:textFill>
            <w14:solidFill>
              <w14:schemeClr w14:val="tx1"/>
            </w14:solidFill>
          </w14:textFill>
        </w:rPr>
      </w:pPr>
      <w:r>
        <w:rPr>
          <w:rFonts w:ascii="宋体" w:hAnsi="宋体" w:cs="Courier New"/>
          <w:color w:val="000000" w:themeColor="text1"/>
          <w:sz w:val="24"/>
          <w:u w:val="none"/>
          <w14:textFill>
            <w14:solidFill>
              <w14:schemeClr w14:val="tx1"/>
            </w14:solidFill>
          </w14:textFill>
        </w:rPr>
        <w:t>2</w:t>
      </w:r>
      <w:r>
        <w:rPr>
          <w:rFonts w:hint="eastAsia" w:ascii="宋体" w:hAnsi="宋体" w:cs="Courier New"/>
          <w:color w:val="000000" w:themeColor="text1"/>
          <w:sz w:val="24"/>
          <w:u w:val="none"/>
          <w14:textFill>
            <w14:solidFill>
              <w14:schemeClr w14:val="tx1"/>
            </w14:solidFill>
          </w14:textFill>
        </w:rPr>
        <w:t>）外形要求：</w:t>
      </w:r>
    </w:p>
    <w:p>
      <w:pPr>
        <w:spacing w:before="0" w:after="0" w:line="440" w:lineRule="exact"/>
        <w:ind w:firstLine="480" w:firstLineChars="200"/>
        <w:jc w:val="left"/>
        <w:rPr>
          <w:rFonts w:ascii="宋体" w:hAnsi="宋体" w:cs="Courier New"/>
          <w:color w:val="000000" w:themeColor="text1"/>
          <w:sz w:val="24"/>
          <w:u w:val="none"/>
          <w14:textFill>
            <w14:solidFill>
              <w14:schemeClr w14:val="tx1"/>
            </w14:solidFill>
          </w14:textFill>
        </w:rPr>
      </w:pPr>
      <w:r>
        <w:rPr>
          <w:rFonts w:ascii="宋体" w:hAnsi="宋体" w:cs="Courier New"/>
          <w:color w:val="000000" w:themeColor="text1"/>
          <w:sz w:val="24"/>
          <w:u w:val="none"/>
          <w14:textFill>
            <w14:solidFill>
              <w14:schemeClr w14:val="tx1"/>
            </w14:solidFill>
          </w14:textFill>
        </w:rPr>
        <w:t>①</w:t>
      </w:r>
      <w:r>
        <w:rPr>
          <w:rFonts w:hint="eastAsia" w:ascii="宋体" w:hAnsi="宋体" w:cs="Courier New"/>
          <w:color w:val="000000" w:themeColor="text1"/>
          <w:sz w:val="24"/>
          <w:u w:val="none"/>
          <w14:textFill>
            <w14:solidFill>
              <w14:schemeClr w14:val="tx1"/>
            </w14:solidFill>
          </w14:textFill>
        </w:rPr>
        <w:t>界桩桩体和</w:t>
      </w:r>
      <w:r>
        <w:rPr>
          <w:rFonts w:hint="eastAsia" w:ascii="宋体" w:hAnsi="宋体"/>
          <w:color w:val="000000" w:themeColor="text1"/>
          <w:sz w:val="24"/>
          <w:u w:val="none"/>
          <w14:textFill>
            <w14:solidFill>
              <w14:schemeClr w14:val="tx1"/>
            </w14:solidFill>
          </w14:textFill>
        </w:rPr>
        <w:t>管理线界牌</w:t>
      </w:r>
      <w:r>
        <w:rPr>
          <w:rFonts w:hint="eastAsia" w:ascii="宋体" w:hAnsi="宋体" w:cs="Courier New"/>
          <w:color w:val="000000" w:themeColor="text1"/>
          <w:sz w:val="24"/>
          <w:u w:val="none"/>
          <w14:textFill>
            <w14:solidFill>
              <w14:schemeClr w14:val="tx1"/>
            </w14:solidFill>
          </w14:textFill>
        </w:rPr>
        <w:t>外观应光滑整洁，不允许有缺棱、缺角、裂纹。</w:t>
      </w:r>
    </w:p>
    <w:p>
      <w:pPr>
        <w:spacing w:before="0" w:after="0"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ascii="宋体" w:hAnsi="宋体" w:cs="Courier New"/>
          <w:color w:val="000000" w:themeColor="text1"/>
          <w:sz w:val="24"/>
          <w:u w:val="none"/>
          <w14:textFill>
            <w14:solidFill>
              <w14:schemeClr w14:val="tx1"/>
            </w14:solidFill>
          </w14:textFill>
        </w:rPr>
        <w:t>②</w:t>
      </w:r>
      <w:r>
        <w:rPr>
          <w:rFonts w:hint="eastAsia" w:ascii="宋体" w:hAnsi="宋体" w:cs="Courier New"/>
          <w:color w:val="000000" w:themeColor="text1"/>
          <w:sz w:val="24"/>
          <w:u w:val="none"/>
          <w14:textFill>
            <w14:solidFill>
              <w14:schemeClr w14:val="tx1"/>
            </w14:solidFill>
          </w14:textFill>
        </w:rPr>
        <w:t xml:space="preserve"> </w:t>
      </w:r>
      <w:r>
        <w:rPr>
          <w:rFonts w:hint="eastAsia" w:ascii="宋体" w:hAnsi="宋体"/>
          <w:color w:val="000000" w:themeColor="text1"/>
          <w:sz w:val="24"/>
          <w:u w:val="none"/>
          <w:shd w:val="clear" w:color="auto" w:fill="FFFFFF"/>
          <w14:textFill>
            <w14:solidFill>
              <w14:schemeClr w14:val="tx1"/>
            </w14:solidFill>
          </w14:textFill>
        </w:rPr>
        <w:t>简易管理牌表面平整，无锈斑。</w:t>
      </w:r>
    </w:p>
    <w:p>
      <w:pPr>
        <w:spacing w:before="0" w:after="0" w:line="440" w:lineRule="exact"/>
        <w:ind w:firstLine="480" w:firstLineChars="200"/>
        <w:jc w:val="left"/>
        <w:rPr>
          <w:rFonts w:ascii="宋体" w:hAnsi="宋体"/>
          <w:color w:val="000000" w:themeColor="text1"/>
          <w:sz w:val="24"/>
          <w:u w:val="none"/>
          <w:shd w:val="clear" w:color="auto" w:fill="FFFFFF"/>
          <w14:textFill>
            <w14:solidFill>
              <w14:schemeClr w14:val="tx1"/>
            </w14:solidFill>
          </w14:textFill>
        </w:rPr>
      </w:pPr>
      <w:r>
        <w:rPr>
          <w:rFonts w:hint="eastAsia" w:ascii="宋体" w:hAnsi="宋体"/>
          <w:color w:val="000000" w:themeColor="text1"/>
          <w:sz w:val="24"/>
          <w:u w:val="none"/>
          <w:shd w:val="clear" w:color="auto" w:fill="FFFFFF"/>
          <w14:textFill>
            <w14:solidFill>
              <w14:schemeClr w14:val="tx1"/>
            </w14:solidFill>
          </w14:textFill>
        </w:rPr>
        <w:t>3）尺寸要求：尺寸误差应控制在±1cm以内。</w:t>
      </w:r>
    </w:p>
    <w:p>
      <w:pPr>
        <w:spacing w:before="0" w:after="0"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（2）桩牌安装要求</w:t>
      </w:r>
    </w:p>
    <w:p>
      <w:pPr>
        <w:numPr>
          <w:ilvl w:val="0"/>
          <w:numId w:val="0"/>
        </w:numPr>
        <w:spacing w:before="0" w:after="0" w:line="440" w:lineRule="exact"/>
        <w:ind w:firstLine="720" w:firstLineChars="300"/>
        <w:jc w:val="left"/>
        <w:rPr>
          <w:rFonts w:ascii="宋体" w:hAnsi="宋体"/>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1）界桩埋设时，“严禁移动”面应背向河道（湖泊、水库、水利工程），并与河道岸线平行。界桩垂直方向上偏斜不应超过</w:t>
      </w:r>
      <w:r>
        <w:rPr>
          <w:color w:val="000000" w:themeColor="text1"/>
          <w:sz w:val="24"/>
          <w:u w:val="none"/>
          <w14:textFill>
            <w14:solidFill>
              <w14:schemeClr w14:val="tx1"/>
            </w14:solidFill>
          </w14:textFill>
        </w:rPr>
        <w:t>5</w:t>
      </w:r>
      <w:r>
        <w:rPr>
          <w:rFonts w:hint="eastAsia" w:ascii="宋体" w:hAnsi="宋体"/>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水平方向上与河道岸线夹角偏斜不应超过15</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shd w:val="clear" w:color="auto" w:fill="FFFFFF"/>
          <w14:textFill>
            <w14:solidFill>
              <w14:schemeClr w14:val="tx1"/>
            </w14:solidFill>
          </w14:textFill>
        </w:rPr>
        <w:t>。</w:t>
      </w:r>
    </w:p>
    <w:p>
      <w:pPr>
        <w:spacing w:before="0" w:after="0" w:line="440" w:lineRule="exact"/>
        <w:ind w:firstLine="480" w:firstLineChars="200"/>
        <w:jc w:val="left"/>
        <w:rPr>
          <w:rFonts w:ascii="宋体" w:hAnsi="宋体"/>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w:t>
      </w:r>
      <w:r>
        <w:rPr>
          <w:rFonts w:hint="eastAsia" w:ascii="宋体" w:hAnsi="宋体"/>
          <w:color w:val="000000" w:themeColor="text1"/>
          <w:sz w:val="24"/>
          <w:u w:val="none"/>
          <w14:textFill>
            <w14:solidFill>
              <w14:schemeClr w14:val="tx1"/>
            </w14:solidFill>
          </w14:textFill>
        </w:rPr>
        <w:t>管理线界牌</w:t>
      </w:r>
      <w:r>
        <w:rPr>
          <w:rFonts w:hint="eastAsia" w:ascii="宋体" w:hAnsi="宋体"/>
          <w:color w:val="000000" w:themeColor="text1"/>
          <w:sz w:val="24"/>
          <w:u w:val="none"/>
          <w:shd w:val="clear" w:color="auto" w:fill="FFFFFF"/>
          <w14:textFill>
            <w14:solidFill>
              <w14:schemeClr w14:val="tx1"/>
            </w14:solidFill>
          </w14:textFill>
        </w:rPr>
        <w:t>采用</w:t>
      </w:r>
      <w:r>
        <w:rPr>
          <w:rFonts w:ascii="宋体" w:hAnsi="宋体"/>
          <w:color w:val="000000" w:themeColor="text1"/>
          <w:sz w:val="24"/>
          <w:u w:val="none"/>
          <w:shd w:val="clear" w:color="auto" w:fill="FFFFFF"/>
          <w14:textFill>
            <w14:solidFill>
              <w14:schemeClr w14:val="tx1"/>
            </w14:solidFill>
          </w14:textFill>
        </w:rPr>
        <w:t>嵌入式</w:t>
      </w:r>
      <w:r>
        <w:rPr>
          <w:rFonts w:hint="eastAsia" w:ascii="宋体" w:hAnsi="宋体"/>
          <w:color w:val="000000" w:themeColor="text1"/>
          <w:sz w:val="24"/>
          <w:u w:val="none"/>
          <w:shd w:val="clear" w:color="auto" w:fill="FFFFFF"/>
          <w14:textFill>
            <w14:solidFill>
              <w14:schemeClr w14:val="tx1"/>
            </w14:solidFill>
          </w14:textFill>
        </w:rPr>
        <w:t>，界牌安装时应基本面向河道，且处于醒目位置。垂直方向上偏斜不应超过</w:t>
      </w:r>
      <w:r>
        <w:rPr>
          <w:rFonts w:ascii="宋体" w:hAnsi="宋体"/>
          <w:color w:val="000000" w:themeColor="text1"/>
          <w:sz w:val="24"/>
          <w:u w:val="none"/>
          <w:shd w:val="clear" w:color="auto" w:fill="FFFFFF"/>
          <w14:textFill>
            <w14:solidFill>
              <w14:schemeClr w14:val="tx1"/>
            </w14:solidFill>
          </w14:textFill>
        </w:rPr>
        <w:t>5</w:t>
      </w:r>
      <w:r>
        <w:rPr>
          <w:rFonts w:hint="eastAsia" w:ascii="宋体" w:hAnsi="宋体"/>
          <w:color w:val="000000" w:themeColor="text1"/>
          <w:sz w:val="24"/>
          <w:u w:val="none"/>
          <w:shd w:val="clear" w:color="auto" w:fill="FFFFFF"/>
          <w14:textFill>
            <w14:solidFill>
              <w14:schemeClr w14:val="tx1"/>
            </w14:solidFill>
          </w14:textFill>
        </w:rPr>
        <w:t>゜。水平方向上与河道岸线夹角偏斜不应超过</w:t>
      </w:r>
      <w:r>
        <w:rPr>
          <w:rFonts w:ascii="宋体" w:hAnsi="宋体"/>
          <w:color w:val="000000" w:themeColor="text1"/>
          <w:sz w:val="24"/>
          <w:u w:val="none"/>
          <w:shd w:val="clear" w:color="auto" w:fill="FFFFFF"/>
          <w14:textFill>
            <w14:solidFill>
              <w14:schemeClr w14:val="tx1"/>
            </w14:solidFill>
          </w14:textFill>
        </w:rPr>
        <w:t>45</w:t>
      </w:r>
      <w:r>
        <w:rPr>
          <w:rFonts w:hint="eastAsia" w:ascii="宋体" w:hAnsi="宋体"/>
          <w:color w:val="000000" w:themeColor="text1"/>
          <w:sz w:val="24"/>
          <w:u w:val="none"/>
          <w:shd w:val="clear" w:color="auto" w:fill="FFFFFF"/>
          <w14:textFill>
            <w14:solidFill>
              <w14:schemeClr w14:val="tx1"/>
            </w14:solidFill>
          </w14:textFill>
        </w:rPr>
        <w:t>゜。</w:t>
      </w:r>
    </w:p>
    <w:p>
      <w:pPr>
        <w:adjustRightInd w:val="0"/>
        <w:snapToGrid w:val="0"/>
        <w:spacing w:before="0" w:after="0" w:line="440" w:lineRule="exact"/>
        <w:ind w:left="420" w:leftChars="200"/>
        <w:jc w:val="left"/>
        <w:rPr>
          <w:rFonts w:ascii="宋体" w:hAnsi="宋体" w:cs="Courier New"/>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w:t>
      </w:r>
      <w:r>
        <w:rPr>
          <w:rFonts w:hint="eastAsia" w:ascii="宋体" w:hAnsi="宋体"/>
          <w:color w:val="000000" w:themeColor="text1"/>
          <w:sz w:val="24"/>
          <w:u w:val="none"/>
          <w:shd w:val="clear" w:color="auto" w:fill="FFFFFF"/>
          <w14:textFill>
            <w14:solidFill>
              <w14:schemeClr w14:val="tx1"/>
            </w14:solidFill>
          </w14:textFill>
        </w:rPr>
        <w:t>简易管理牌采用壁挂式，界牌应基本面向河道，且处于醒目位置。</w:t>
      </w:r>
    </w:p>
    <w:p>
      <w:pPr>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 xml:space="preserve"> 5.2.2.3 地籍信息化</w:t>
      </w:r>
    </w:p>
    <w:p>
      <w:pPr>
        <w:adjustRightInd w:val="0"/>
        <w:snapToGrid w:val="0"/>
        <w:spacing w:line="440" w:lineRule="exact"/>
        <w:ind w:firstLine="480" w:firstLineChars="200"/>
        <w:jc w:val="left"/>
        <w:rPr>
          <w:rFonts w:cs="宋体"/>
          <w:color w:val="000000" w:themeColor="text1"/>
          <w:sz w:val="24"/>
          <w:u w:val="none"/>
          <w14:textFill>
            <w14:solidFill>
              <w14:schemeClr w14:val="tx1"/>
            </w14:solidFill>
          </w14:textFill>
        </w:rPr>
      </w:pPr>
      <w:r>
        <w:rPr>
          <w:rFonts w:hint="eastAsia" w:cs="宋体"/>
          <w:color w:val="000000" w:themeColor="text1"/>
          <w:sz w:val="24"/>
          <w:u w:val="none"/>
          <w14:textFill>
            <w14:solidFill>
              <w14:schemeClr w14:val="tx1"/>
            </w14:solidFill>
          </w14:textFill>
        </w:rPr>
        <w:t>将复核后地籍信息，包括地籍图件、权属信息、界桩成果等资料，按国土地理信息系统管理要求进行数字化编辑，导入国土信息管理数据库。</w:t>
      </w:r>
    </w:p>
    <w:p>
      <w:pPr>
        <w:pStyle w:val="3"/>
        <w:numPr>
          <w:ilvl w:val="0"/>
          <w:numId w:val="0"/>
        </w:numPr>
        <w:spacing w:before="0" w:beforeLines="0" w:after="0" w:afterLines="0" w:line="440" w:lineRule="atLeast"/>
        <w:jc w:val="left"/>
        <w:rPr>
          <w:color w:val="000000" w:themeColor="text1"/>
          <w:sz w:val="24"/>
          <w:szCs w:val="24"/>
          <w:u w:val="none"/>
          <w14:textFill>
            <w14:solidFill>
              <w14:schemeClr w14:val="tx1"/>
            </w14:solidFill>
          </w14:textFill>
        </w:rPr>
      </w:pPr>
      <w:bookmarkStart w:id="42" w:name="_Toc2257"/>
      <w:r>
        <w:rPr>
          <w:rFonts w:hint="eastAsia"/>
          <w:color w:val="000000" w:themeColor="text1"/>
          <w:sz w:val="24"/>
          <w:szCs w:val="24"/>
          <w:u w:val="none"/>
          <w14:textFill>
            <w14:solidFill>
              <w14:schemeClr w14:val="tx1"/>
            </w14:solidFill>
          </w14:textFill>
        </w:rPr>
        <w:t>5.3验收</w:t>
      </w:r>
      <w:bookmarkEnd w:id="42"/>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本溪市河长制办公室按照本溪市人民政府已批复的《</w:t>
      </w:r>
      <w:r>
        <w:rPr>
          <w:rFonts w:hint="eastAsia" w:ascii="Times New Roman"/>
          <w:color w:val="000000" w:themeColor="text1"/>
          <w:sz w:val="24"/>
          <w:u w:val="none"/>
          <w14:textFill>
            <w14:solidFill>
              <w14:schemeClr w14:val="tx1"/>
            </w14:solidFill>
          </w14:textFill>
        </w:rPr>
        <w:t>本溪市本级河道和水利工程管理范围划定实施方案</w:t>
      </w:r>
      <w:r>
        <w:rPr>
          <w:rFonts w:hint="eastAsia"/>
          <w:color w:val="000000" w:themeColor="text1"/>
          <w:sz w:val="24"/>
          <w:u w:val="none"/>
          <w14:textFill>
            <w14:solidFill>
              <w14:schemeClr w14:val="tx1"/>
            </w14:solidFill>
          </w14:textFill>
        </w:rPr>
        <w:t>》，安排年度实施计划，年底完成验收考核工作。</w:t>
      </w:r>
    </w:p>
    <w:p>
      <w:pPr>
        <w:tabs>
          <w:tab w:val="left" w:pos="0"/>
        </w:tabs>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5.3.1验收部门和验收组织</w:t>
      </w:r>
    </w:p>
    <w:p>
      <w:pPr>
        <w:pStyle w:val="7"/>
        <w:numPr>
          <w:ilvl w:val="0"/>
          <w:numId w:val="13"/>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提请组织</w:t>
      </w:r>
      <w:r>
        <w:rPr>
          <w:color w:val="000000" w:themeColor="text1"/>
          <w:u w:val="none"/>
          <w14:textFill>
            <w14:solidFill>
              <w14:schemeClr w14:val="tx1"/>
            </w14:solidFill>
          </w14:textFill>
        </w:rPr>
        <w:t>抽检</w:t>
      </w:r>
      <w:r>
        <w:rPr>
          <w:rFonts w:hint="eastAsia"/>
          <w:color w:val="000000" w:themeColor="text1"/>
          <w:u w:val="none"/>
          <w14:textFill>
            <w14:solidFill>
              <w14:schemeClr w14:val="tx1"/>
            </w14:solidFill>
          </w14:textFill>
        </w:rPr>
        <w:t>。工程</w:t>
      </w:r>
      <w:r>
        <w:rPr>
          <w:color w:val="000000" w:themeColor="text1"/>
          <w:u w:val="none"/>
          <w14:textFill>
            <w14:solidFill>
              <w14:schemeClr w14:val="tx1"/>
            </w14:solidFill>
          </w14:textFill>
        </w:rPr>
        <w:t>实施</w:t>
      </w:r>
      <w:r>
        <w:rPr>
          <w:rFonts w:hint="eastAsia"/>
          <w:color w:val="000000" w:themeColor="text1"/>
          <w:u w:val="none"/>
          <w14:textFill>
            <w14:solidFill>
              <w14:schemeClr w14:val="tx1"/>
            </w14:solidFill>
          </w14:textFill>
        </w:rPr>
        <w:t>完成</w:t>
      </w:r>
      <w:r>
        <w:rPr>
          <w:color w:val="000000" w:themeColor="text1"/>
          <w:u w:val="none"/>
          <w14:textFill>
            <w14:solidFill>
              <w14:schemeClr w14:val="tx1"/>
            </w14:solidFill>
          </w14:textFill>
        </w:rPr>
        <w:t>后，</w:t>
      </w:r>
      <w:r>
        <w:rPr>
          <w:rFonts w:hint="eastAsia"/>
          <w:color w:val="000000" w:themeColor="text1"/>
          <w:u w:val="none"/>
          <w14:textFill>
            <w14:solidFill>
              <w14:schemeClr w14:val="tx1"/>
            </w14:solidFill>
          </w14:textFill>
        </w:rPr>
        <w:t>可</w:t>
      </w:r>
      <w:r>
        <w:rPr>
          <w:color w:val="000000" w:themeColor="text1"/>
          <w:u w:val="none"/>
          <w14:textFill>
            <w14:solidFill>
              <w14:schemeClr w14:val="tx1"/>
            </w14:solidFill>
          </w14:textFill>
        </w:rPr>
        <w:t>提请组织抽检，确定抽检单位，开展抽检工作</w:t>
      </w:r>
      <w:r>
        <w:rPr>
          <w:rFonts w:hint="eastAsia"/>
          <w:color w:val="000000" w:themeColor="text1"/>
          <w:u w:val="none"/>
          <w14:textFill>
            <w14:solidFill>
              <w14:schemeClr w14:val="tx1"/>
            </w14:solidFill>
          </w14:textFill>
        </w:rPr>
        <w:t>。抽检</w:t>
      </w:r>
      <w:r>
        <w:rPr>
          <w:color w:val="000000" w:themeColor="text1"/>
          <w:u w:val="none"/>
          <w14:textFill>
            <w14:solidFill>
              <w14:schemeClr w14:val="tx1"/>
            </w14:solidFill>
          </w14:textFill>
        </w:rPr>
        <w:t>合格后组织开展验</w:t>
      </w:r>
      <w:bookmarkStart w:id="43" w:name="_Toc428180112"/>
      <w:bookmarkStart w:id="44" w:name="_Toc440348827"/>
      <w:bookmarkStart w:id="45" w:name="_Toc425494886"/>
      <w:r>
        <w:rPr>
          <w:color w:val="000000" w:themeColor="text1"/>
          <w:u w:val="none"/>
          <w14:textFill>
            <w14:solidFill>
              <w14:schemeClr w14:val="tx1"/>
            </w14:solidFill>
          </w14:textFill>
        </w:rPr>
        <w:t>收；如抽</w:t>
      </w:r>
      <w:bookmarkEnd w:id="43"/>
      <w:bookmarkEnd w:id="44"/>
      <w:bookmarkEnd w:id="45"/>
      <w:r>
        <w:rPr>
          <w:color w:val="000000" w:themeColor="text1"/>
          <w:u w:val="none"/>
          <w14:textFill>
            <w14:solidFill>
              <w14:schemeClr w14:val="tx1"/>
            </w14:solidFill>
          </w14:textFill>
        </w:rPr>
        <w:t>检不合格</w:t>
      </w:r>
      <w:r>
        <w:rPr>
          <w:rFonts w:hint="eastAsia"/>
          <w:color w:val="000000" w:themeColor="text1"/>
          <w:u w:val="none"/>
          <w14:textFill>
            <w14:solidFill>
              <w14:schemeClr w14:val="tx1"/>
            </w14:solidFill>
          </w14:textFill>
        </w:rPr>
        <w:t>，</w:t>
      </w:r>
      <w:r>
        <w:rPr>
          <w:color w:val="000000" w:themeColor="text1"/>
          <w:u w:val="none"/>
          <w14:textFill>
            <w14:solidFill>
              <w14:schemeClr w14:val="tx1"/>
            </w14:solidFill>
          </w14:textFill>
        </w:rPr>
        <w:t>进行整改</w:t>
      </w:r>
      <w:r>
        <w:rPr>
          <w:rFonts w:hint="eastAsia"/>
          <w:color w:val="000000" w:themeColor="text1"/>
          <w:u w:val="none"/>
          <w14:textFill>
            <w14:solidFill>
              <w14:schemeClr w14:val="tx1"/>
            </w14:solidFill>
          </w14:textFill>
        </w:rPr>
        <w:t>；</w:t>
      </w:r>
    </w:p>
    <w:p>
      <w:pPr>
        <w:pStyle w:val="7"/>
        <w:numPr>
          <w:ilvl w:val="0"/>
          <w:numId w:val="13"/>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明确验收部门。抽检</w:t>
      </w:r>
      <w:r>
        <w:rPr>
          <w:color w:val="000000" w:themeColor="text1"/>
          <w:u w:val="none"/>
          <w14:textFill>
            <w14:solidFill>
              <w14:schemeClr w14:val="tx1"/>
            </w14:solidFill>
          </w14:textFill>
        </w:rPr>
        <w:t>合格</w:t>
      </w:r>
      <w:r>
        <w:rPr>
          <w:rFonts w:hint="eastAsia"/>
          <w:color w:val="000000" w:themeColor="text1"/>
          <w:u w:val="none"/>
          <w14:textFill>
            <w14:solidFill>
              <w14:schemeClr w14:val="tx1"/>
            </w14:solidFill>
          </w14:textFill>
        </w:rPr>
        <w:t>后</w:t>
      </w:r>
      <w:r>
        <w:rPr>
          <w:color w:val="000000" w:themeColor="text1"/>
          <w:u w:val="none"/>
          <w14:textFill>
            <w14:solidFill>
              <w14:schemeClr w14:val="tx1"/>
            </w14:solidFill>
          </w14:textFill>
        </w:rPr>
        <w:t>，</w:t>
      </w:r>
      <w:r>
        <w:rPr>
          <w:rFonts w:hint="eastAsia" w:cs="宋体"/>
          <w:color w:val="000000" w:themeColor="text1"/>
          <w:u w:val="none"/>
          <w14:textFill>
            <w14:solidFill>
              <w14:schemeClr w14:val="tx1"/>
            </w14:solidFill>
          </w14:textFill>
        </w:rPr>
        <w:t>经河长制办公室牵头组织各个相关部门考核验收，由本溪市人民政府对河道和水利工程管理范围进行公告</w:t>
      </w:r>
      <w:r>
        <w:rPr>
          <w:rFonts w:hint="eastAsia"/>
          <w:color w:val="000000" w:themeColor="text1"/>
          <w:u w:val="none"/>
          <w14:textFill>
            <w14:solidFill>
              <w14:schemeClr w14:val="tx1"/>
            </w14:solidFill>
          </w14:textFill>
        </w:rPr>
        <w:t xml:space="preserve">； </w:t>
      </w:r>
    </w:p>
    <w:p>
      <w:pPr>
        <w:pStyle w:val="7"/>
        <w:numPr>
          <w:ilvl w:val="0"/>
          <w:numId w:val="13"/>
        </w:numPr>
        <w:tabs>
          <w:tab w:val="left" w:pos="0"/>
          <w:tab w:val="clear" w:pos="170"/>
        </w:tabs>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组建验收组织。验收工作组不少于5人，其中技术专家不少于3人，根据实际情况可增加。</w:t>
      </w:r>
    </w:p>
    <w:p>
      <w:pPr>
        <w:tabs>
          <w:tab w:val="left" w:pos="0"/>
        </w:tabs>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5.3.2验收内容</w:t>
      </w:r>
    </w:p>
    <w:p>
      <w:pPr>
        <w:pStyle w:val="7"/>
        <w:adjustRightInd w:val="0"/>
        <w:snapToGrid w:val="0"/>
        <w:spacing w:line="440" w:lineRule="exact"/>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组织对划界工作进行验收</w:t>
      </w:r>
      <w:bookmarkStart w:id="46" w:name="_Toc428180114"/>
      <w:bookmarkStart w:id="47" w:name="_Toc425494888"/>
      <w:bookmarkStart w:id="48" w:name="_Toc440348829"/>
      <w:r>
        <w:rPr>
          <w:rFonts w:hint="eastAsia"/>
          <w:color w:val="000000" w:themeColor="text1"/>
          <w:u w:val="none"/>
          <w14:textFill>
            <w14:solidFill>
              <w14:schemeClr w14:val="tx1"/>
            </w14:solidFill>
          </w14:textFill>
        </w:rPr>
        <w:t>，主要内</w:t>
      </w:r>
      <w:bookmarkEnd w:id="46"/>
      <w:bookmarkEnd w:id="47"/>
      <w:bookmarkEnd w:id="48"/>
      <w:r>
        <w:rPr>
          <w:rFonts w:hint="eastAsia"/>
          <w:color w:val="000000" w:themeColor="text1"/>
          <w:u w:val="none"/>
          <w14:textFill>
            <w14:solidFill>
              <w14:schemeClr w14:val="tx1"/>
            </w14:solidFill>
          </w14:textFill>
        </w:rPr>
        <w:t>容如下：</w:t>
      </w:r>
    </w:p>
    <w:p>
      <w:pPr>
        <w:pStyle w:val="7"/>
        <w:numPr>
          <w:ilvl w:val="0"/>
          <w:numId w:val="14"/>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检查工作报告格式是否规范，内容是否全面详实，达到工作深度要求；附图、附表是否齐全，表达是否清楚；</w:t>
      </w:r>
    </w:p>
    <w:p>
      <w:pPr>
        <w:pStyle w:val="7"/>
        <w:numPr>
          <w:ilvl w:val="0"/>
          <w:numId w:val="14"/>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检查桩（牌）现场设置是否合理，制作安装是否规范，是否达到设计合格要求；</w:t>
      </w:r>
    </w:p>
    <w:p>
      <w:pPr>
        <w:pStyle w:val="7"/>
        <w:numPr>
          <w:ilvl w:val="0"/>
          <w:numId w:val="14"/>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听取实施单位的情况汇报和建议意见；</w:t>
      </w:r>
    </w:p>
    <w:p>
      <w:pPr>
        <w:pStyle w:val="7"/>
        <w:numPr>
          <w:ilvl w:val="0"/>
          <w:numId w:val="14"/>
        </w:numPr>
        <w:adjustRightInd w:val="0"/>
        <w:snapToGrid w:val="0"/>
        <w:spacing w:line="440" w:lineRule="exact"/>
        <w:ind w:firstLine="480"/>
        <w:jc w:val="left"/>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作出验收决定，签署验收鉴定书。</w:t>
      </w:r>
    </w:p>
    <w:p>
      <w:pPr>
        <w:tabs>
          <w:tab w:val="left" w:pos="0"/>
        </w:tabs>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5.3.3验收程序</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（1）本溪市河长制办公室对本溪市本级河道管理划界成果进行抽检，抽检合格方可进行验收程序；</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（2）实施单位提出验收申请，并提交划界报告；</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（3）验收部门组织验收，查勘现场，召开验收会。</w:t>
      </w:r>
    </w:p>
    <w:p>
      <w:pPr>
        <w:tabs>
          <w:tab w:val="left" w:pos="0"/>
        </w:tabs>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5.3.4验收整改</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在验收会议召开后，应根据验收工作组提出的意见，修改划界报告及整改现场设置的桩牌。</w:t>
      </w:r>
    </w:p>
    <w:p>
      <w:pPr>
        <w:spacing w:line="440" w:lineRule="exact"/>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5.3.5公告</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验收整改完成后，由本溪市河长制办公室报请本溪市人民政府批复并对划界成果进行社会公告。</w:t>
      </w:r>
    </w:p>
    <w:p>
      <w:pPr>
        <w:pStyle w:val="3"/>
        <w:numPr>
          <w:ilvl w:val="0"/>
          <w:numId w:val="0"/>
        </w:numPr>
        <w:spacing w:before="0" w:beforeLines="0" w:after="0" w:afterLines="0" w:line="440" w:lineRule="atLeast"/>
        <w:jc w:val="left"/>
        <w:rPr>
          <w:color w:val="000000" w:themeColor="text1"/>
          <w:sz w:val="24"/>
          <w:szCs w:val="24"/>
          <w:u w:val="none"/>
          <w14:textFill>
            <w14:solidFill>
              <w14:schemeClr w14:val="tx1"/>
            </w14:solidFill>
          </w14:textFill>
        </w:rPr>
      </w:pPr>
      <w:bookmarkStart w:id="49" w:name="_Toc10491"/>
      <w:r>
        <w:rPr>
          <w:rFonts w:hint="eastAsia"/>
          <w:color w:val="000000" w:themeColor="text1"/>
          <w:sz w:val="24"/>
          <w:szCs w:val="24"/>
          <w:u w:val="none"/>
          <w14:textFill>
            <w14:solidFill>
              <w14:schemeClr w14:val="tx1"/>
            </w14:solidFill>
          </w14:textFill>
        </w:rPr>
        <w:t>5.4成果管理</w:t>
      </w:r>
      <w:bookmarkEnd w:id="49"/>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利用现有的地理信息系统，形成划界成果信息，水利、国土、规划等相关部门做好数据共享和具体管理工作衔接，做好成果与土地利用总体规划、城乡总体规划等相关规划管理的对接，并将成果纳入本部门日常管理工作中。在基础数据库的基础上，水利、国土、规划部门建立市县</w:t>
      </w:r>
      <w:bookmarkStart w:id="50" w:name="_Toc440348831"/>
      <w:r>
        <w:rPr>
          <w:rFonts w:hint="eastAsia"/>
          <w:color w:val="000000" w:themeColor="text1"/>
          <w:sz w:val="24"/>
          <w:u w:val="none"/>
          <w14:textFill>
            <w14:solidFill>
              <w14:schemeClr w14:val="tx1"/>
            </w14:solidFill>
          </w14:textFill>
        </w:rPr>
        <w:t>一体的互</w:t>
      </w:r>
      <w:bookmarkEnd w:id="50"/>
      <w:r>
        <w:rPr>
          <w:rFonts w:hint="eastAsia"/>
          <w:color w:val="000000" w:themeColor="text1"/>
          <w:sz w:val="24"/>
          <w:u w:val="none"/>
          <w14:textFill>
            <w14:solidFill>
              <w14:schemeClr w14:val="tx1"/>
            </w14:solidFill>
          </w14:textFill>
        </w:rPr>
        <w:t>联</w:t>
      </w:r>
      <w:bookmarkStart w:id="51" w:name="_Toc419892320"/>
      <w:bookmarkStart w:id="52" w:name="_Toc440348832"/>
      <w:r>
        <w:rPr>
          <w:rFonts w:hint="eastAsia"/>
          <w:color w:val="000000" w:themeColor="text1"/>
          <w:sz w:val="24"/>
          <w:u w:val="none"/>
          <w14:textFill>
            <w14:solidFill>
              <w14:schemeClr w14:val="tx1"/>
            </w14:solidFill>
          </w14:textFill>
        </w:rPr>
        <w:t>互享的划界数据库</w:t>
      </w:r>
      <w:bookmarkEnd w:id="51"/>
      <w:bookmarkEnd w:id="52"/>
      <w:r>
        <w:rPr>
          <w:rFonts w:hint="eastAsia"/>
          <w:color w:val="000000" w:themeColor="text1"/>
          <w:sz w:val="24"/>
          <w:u w:val="none"/>
          <w14:textFill>
            <w14:solidFill>
              <w14:schemeClr w14:val="tx1"/>
            </w14:solidFill>
          </w14:textFill>
        </w:rPr>
        <w:t>和管理系统。</w:t>
      </w:r>
    </w:p>
    <w:p>
      <w:pPr>
        <w:spacing w:before="0" w:after="0" w:line="440" w:lineRule="exact"/>
        <w:jc w:val="left"/>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5.4.1管理要求</w:t>
      </w:r>
    </w:p>
    <w:p>
      <w:pPr>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利用国土资源局现有的地理信息系统，形成划界成果信息。为做好河道和水利工程管理范围划界数据信息与国土资源土地利用总体规划相衔接。本溪市规划局做好河道划界数据信息与本溪市城乡总体规划相衔接，避免城乡开发建设对水利工程用地挤占，协助水利部门做好河道和水利工程管理范围线内工程建设项目审批、监督工作。</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划界工作完成后，明确河道工程管理范围，加强管理范围内所有权、管理权、经营权、收益权的管理政策研究，为依法行政、依法管好水利工程奠定基础，有利于我市水利工程的安全运行和管理。</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pStyle w:val="2"/>
        <w:numPr>
          <w:ilvl w:val="0"/>
          <w:numId w:val="0"/>
        </w:numPr>
        <w:spacing w:before="166" w:beforeLines="50" w:after="166" w:afterLines="50" w:line="440" w:lineRule="exact"/>
        <w:rPr>
          <w:rFonts w:ascii="宋体" w:hAnsi="宋体" w:eastAsia="宋体" w:cs="宋体"/>
          <w:b/>
          <w:color w:val="000000" w:themeColor="text1"/>
          <w:szCs w:val="30"/>
          <w:u w:val="none"/>
          <w14:textFill>
            <w14:solidFill>
              <w14:schemeClr w14:val="tx1"/>
            </w14:solidFill>
          </w14:textFill>
        </w:rPr>
      </w:pPr>
      <w:bookmarkStart w:id="53" w:name="_Toc14519"/>
      <w:r>
        <w:rPr>
          <w:rFonts w:hint="eastAsia" w:ascii="宋体" w:hAnsi="宋体" w:eastAsia="宋体"/>
          <w:b/>
          <w:color w:val="000000" w:themeColor="text1"/>
          <w:szCs w:val="30"/>
          <w:u w:val="none"/>
          <w14:textFill>
            <w14:solidFill>
              <w14:schemeClr w14:val="tx1"/>
            </w14:solidFill>
          </w14:textFill>
        </w:rPr>
        <w:t>6.</w:t>
      </w:r>
      <w:r>
        <w:rPr>
          <w:rFonts w:hint="eastAsia" w:ascii="宋体" w:hAnsi="宋体" w:eastAsia="宋体" w:cs="宋体"/>
          <w:b/>
          <w:color w:val="000000" w:themeColor="text1"/>
          <w:szCs w:val="30"/>
          <w:u w:val="none"/>
          <w14:textFill>
            <w14:solidFill>
              <w14:schemeClr w14:val="tx1"/>
            </w14:solidFill>
          </w14:textFill>
        </w:rPr>
        <w:t>经费测算</w:t>
      </w:r>
      <w:bookmarkEnd w:id="53"/>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54" w:name="_Toc26441"/>
      <w:bookmarkStart w:id="55" w:name="_Toc26414"/>
      <w:r>
        <w:rPr>
          <w:rFonts w:hint="eastAsia"/>
          <w:color w:val="000000" w:themeColor="text1"/>
          <w:sz w:val="24"/>
          <w:szCs w:val="24"/>
          <w:u w:val="none"/>
          <w14:textFill>
            <w14:solidFill>
              <w14:schemeClr w14:val="tx1"/>
            </w14:solidFill>
          </w14:textFill>
        </w:rPr>
        <w:t>6.1经费测算编制依据</w:t>
      </w:r>
      <w:bookmarkEnd w:id="54"/>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《中华人民共和国土地管理法》（1986年颁布，2004年8月28日第十届全国人民代表大</w:t>
      </w:r>
      <w:r>
        <w:rPr>
          <w:rFonts w:hint="eastAsia"/>
          <w:color w:val="000000" w:themeColor="text1"/>
          <w:sz w:val="24"/>
          <w:u w:val="none"/>
          <w:lang w:val="en-US" w:eastAsia="zh-CN"/>
          <w14:textFill>
            <w14:solidFill>
              <w14:schemeClr w14:val="tx1"/>
            </w14:solidFill>
          </w14:textFill>
        </w:rPr>
        <w:t>会</w:t>
      </w:r>
      <w:r>
        <w:rPr>
          <w:rFonts w:hint="eastAsia"/>
          <w:color w:val="000000" w:themeColor="text1"/>
          <w:sz w:val="24"/>
          <w:u w:val="none"/>
          <w14:textFill>
            <w14:solidFill>
              <w14:schemeClr w14:val="tx1"/>
            </w14:solidFill>
          </w14:textFill>
        </w:rPr>
        <w:t>常务委员会第十一次会议第二次修正）；</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《国土资源部关于&lt;调整新增建设用地土地有偿使用费征收登别&gt;的通知》（财综〔2002〕93号）</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《新增建设用地土地有偿使用费收缴使用管理办法》（财综字〔1999〕117号）</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《大中型水利水电工程建设征地补偿和移民安置条例》（国务院令第471号）</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《测绘生产成本费用定额》（财建〔2009〕17号）；</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《关于土地登记收费及其管理办法》（〔1990〕国土（籍）字第93号）；</w:t>
      </w:r>
    </w:p>
    <w:p>
      <w:pPr>
        <w:numPr>
          <w:ilvl w:val="0"/>
          <w:numId w:val="15"/>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地方政府规定；</w:t>
      </w:r>
    </w:p>
    <w:p>
      <w:pPr>
        <w:pStyle w:val="7"/>
        <w:numPr>
          <w:ilvl w:val="0"/>
          <w:numId w:val="15"/>
        </w:numPr>
        <w:adjustRightInd w:val="0"/>
        <w:snapToGrid w:val="0"/>
        <w:spacing w:line="440" w:lineRule="exact"/>
        <w:ind w:firstLine="480" w:firstLineChars="200"/>
        <w:jc w:val="left"/>
      </w:pPr>
      <w:r>
        <w:rPr>
          <w:rFonts w:hint="eastAsia"/>
        </w:rPr>
        <w:t>《辽宁省水利工程设计概（估）算编制规定》（辽发改发［2005］1114号）</w:t>
      </w:r>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56" w:name="_Toc30452"/>
      <w:r>
        <w:rPr>
          <w:rFonts w:hint="eastAsia"/>
          <w:color w:val="000000" w:themeColor="text1"/>
          <w:sz w:val="24"/>
          <w:u w:val="none"/>
          <w14:textFill>
            <w14:solidFill>
              <w14:schemeClr w14:val="tx1"/>
            </w14:solidFill>
          </w14:textFill>
        </w:rPr>
        <w:t>6.2</w:t>
      </w:r>
      <w:r>
        <w:rPr>
          <w:rFonts w:hint="eastAsia"/>
          <w:color w:val="000000" w:themeColor="text1"/>
          <w:sz w:val="24"/>
          <w:szCs w:val="24"/>
          <w:u w:val="none"/>
          <w14:textFill>
            <w14:solidFill>
              <w14:schemeClr w14:val="tx1"/>
            </w14:solidFill>
          </w14:textFill>
        </w:rPr>
        <w:t>经费组成及计算标准</w:t>
      </w:r>
      <w:bookmarkEnd w:id="56"/>
    </w:p>
    <w:p>
      <w:pPr>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6.2.1划界经费组成</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划界经费主要包括实施方案编制、控制点测量、划界成果应用管理信息化、界牌预制和安装、抽检、工作经费等费用。</w:t>
      </w:r>
    </w:p>
    <w:p>
      <w:pPr>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6.2.2计算标准</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界桩预制及安装费用：综合单价500元/个；</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水准控制点制作：500元/点/km；</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控制点制作：500元/点/km；</w:t>
      </w:r>
    </w:p>
    <w:p>
      <w:pPr>
        <w:numPr>
          <w:ilvl w:val="0"/>
          <w:numId w:val="16"/>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实施方案编制费：按合同价格，</w:t>
      </w:r>
      <w:r>
        <w:rPr>
          <w:rFonts w:hint="eastAsia"/>
          <w:color w:val="000000" w:themeColor="text1"/>
          <w:sz w:val="24"/>
          <w:u w:val="none"/>
          <w14:textFill>
            <w14:solidFill>
              <w14:schemeClr w14:val="tx1"/>
            </w14:solidFill>
          </w14:textFill>
        </w:rPr>
        <w:t>包括方案编制、咨询、符合性审查费用；</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公告费：建筑安装费的4%；</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项目建设管理费：建筑安装费的1%；</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工程建设监理费：建筑安装费的2%；</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14:textFill>
            <w14:solidFill>
              <w14:schemeClr w14:val="tx1"/>
            </w14:solidFill>
          </w14:textFill>
        </w:rPr>
        <w:t>招标费：建筑安装费的1%；</w:t>
      </w:r>
    </w:p>
    <w:p>
      <w:pPr>
        <w:numPr>
          <w:ilvl w:val="0"/>
          <w:numId w:val="16"/>
        </w:numPr>
        <w:adjustRightInd w:val="0"/>
        <w:snapToGrid w:val="0"/>
        <w:spacing w:line="440" w:lineRule="exact"/>
        <w:ind w:firstLine="480" w:firstLineChars="200"/>
        <w:jc w:val="left"/>
        <w:rPr>
          <w:rFonts w:ascii="宋体" w:hAnsi="宋体" w:cs="宋体"/>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基本预备费：按以上各项之和8%计列；</w:t>
      </w:r>
    </w:p>
    <w:p>
      <w:pPr>
        <w:adjustRightInd w:val="0"/>
        <w:snapToGrid w:val="0"/>
        <w:spacing w:line="440" w:lineRule="exact"/>
        <w:jc w:val="left"/>
        <w:rPr>
          <w:color w:val="000000" w:themeColor="text1"/>
          <w:sz w:val="24"/>
          <w:u w:val="none"/>
          <w14:textFill>
            <w14:solidFill>
              <w14:schemeClr w14:val="tx1"/>
            </w14:solidFill>
          </w14:textFill>
        </w:rPr>
      </w:pPr>
    </w:p>
    <w:p>
      <w:pPr>
        <w:adjustRightInd w:val="0"/>
        <w:snapToGrid w:val="0"/>
        <w:spacing w:line="440" w:lineRule="exact"/>
        <w:jc w:val="left"/>
        <w:rPr>
          <w:color w:val="000000" w:themeColor="text1"/>
          <w:sz w:val="24"/>
          <w:u w:val="none"/>
          <w14:textFill>
            <w14:solidFill>
              <w14:schemeClr w14:val="tx1"/>
            </w14:solidFill>
          </w14:textFill>
        </w:rPr>
      </w:pPr>
    </w:p>
    <w:p>
      <w:pPr>
        <w:adjustRightInd w:val="0"/>
        <w:snapToGrid w:val="0"/>
        <w:spacing w:line="440" w:lineRule="exact"/>
        <w:jc w:val="left"/>
        <w:rPr>
          <w:rFonts w:hint="eastAsia"/>
          <w:color w:val="000000" w:themeColor="text1"/>
          <w:sz w:val="24"/>
          <w:u w:val="none"/>
          <w14:textFill>
            <w14:solidFill>
              <w14:schemeClr w14:val="tx1"/>
            </w14:solidFill>
          </w14:textFill>
        </w:rPr>
      </w:pPr>
    </w:p>
    <w:p>
      <w:pPr>
        <w:adjustRightInd w:val="0"/>
        <w:snapToGrid w:val="0"/>
        <w:spacing w:line="440" w:lineRule="exact"/>
        <w:jc w:val="left"/>
        <w:rPr>
          <w:rFonts w:hint="eastAsia"/>
          <w:color w:val="000000" w:themeColor="text1"/>
          <w:sz w:val="24"/>
          <w:u w:val="none"/>
          <w14:textFill>
            <w14:solidFill>
              <w14:schemeClr w14:val="tx1"/>
            </w14:solidFill>
          </w14:textFill>
        </w:rPr>
      </w:pPr>
    </w:p>
    <w:p>
      <w:pPr>
        <w:adjustRightInd w:val="0"/>
        <w:snapToGrid w:val="0"/>
        <w:spacing w:line="440" w:lineRule="exact"/>
        <w:jc w:val="left"/>
        <w:rPr>
          <w:rFonts w:ascii="宋体" w:hAnsi="宋体" w:cs="宋体"/>
          <w:color w:val="000000" w:themeColor="text1"/>
          <w:sz w:val="24"/>
          <w:u w:val="none"/>
          <w14:textFill>
            <w14:solidFill>
              <w14:schemeClr w14:val="tx1"/>
            </w14:solidFill>
          </w14:textFill>
        </w:rPr>
      </w:pPr>
    </w:p>
    <w:p>
      <w:pPr>
        <w:adjustRightInd w:val="0"/>
        <w:snapToGrid w:val="0"/>
        <w:spacing w:line="440" w:lineRule="exact"/>
        <w:ind w:left="0"/>
        <w:jc w:val="left"/>
        <w:rPr>
          <w:color w:val="000000" w:themeColor="text1"/>
          <w:sz w:val="24"/>
          <w:u w:val="none"/>
          <w14:textFill>
            <w14:solidFill>
              <w14:schemeClr w14:val="tx1"/>
            </w14:solidFill>
          </w14:textFill>
        </w:rPr>
      </w:pPr>
      <w:r>
        <w:rPr>
          <w:rFonts w:hint="eastAsia"/>
          <w:color w:val="000000" w:themeColor="text1"/>
          <w:szCs w:val="21"/>
          <w:u w:val="none"/>
          <w14:textFill>
            <w14:solidFill>
              <w14:schemeClr w14:val="tx1"/>
            </w14:solidFill>
          </w14:textFill>
        </w:rPr>
        <w:t>表6-1</w:t>
      </w:r>
      <w:r>
        <w:rPr>
          <w:rFonts w:hint="eastAsia"/>
          <w:color w:val="000000" w:themeColor="text1"/>
          <w:sz w:val="24"/>
          <w:u w:val="none"/>
          <w14:textFill>
            <w14:solidFill>
              <w14:schemeClr w14:val="tx1"/>
            </w14:solidFill>
          </w14:textFill>
        </w:rPr>
        <w:t xml:space="preserve">         本溪市本级河道和水利工程管理范围划定费用表</w:t>
      </w:r>
    </w:p>
    <w:tbl>
      <w:tblPr>
        <w:tblStyle w:val="12"/>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2268"/>
        <w:gridCol w:w="790"/>
        <w:gridCol w:w="1080"/>
        <w:gridCol w:w="1080"/>
        <w:gridCol w:w="1280"/>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序号</w:t>
            </w:r>
          </w:p>
        </w:tc>
        <w:tc>
          <w:tcPr>
            <w:tcW w:w="2268"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项目名称</w:t>
            </w:r>
          </w:p>
        </w:tc>
        <w:tc>
          <w:tcPr>
            <w:tcW w:w="790"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计量单位</w:t>
            </w:r>
          </w:p>
        </w:tc>
        <w:tc>
          <w:tcPr>
            <w:tcW w:w="1080"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工程量</w:t>
            </w:r>
          </w:p>
        </w:tc>
        <w:tc>
          <w:tcPr>
            <w:tcW w:w="1080"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综合单价（元）</w:t>
            </w:r>
          </w:p>
        </w:tc>
        <w:tc>
          <w:tcPr>
            <w:tcW w:w="1280"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合价（万元）</w:t>
            </w:r>
          </w:p>
        </w:tc>
        <w:tc>
          <w:tcPr>
            <w:tcW w:w="2007" w:type="dxa"/>
            <w:vMerge w:val="restart"/>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22"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2268"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790"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080"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080"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280"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2007" w:type="dxa"/>
            <w:vMerge w:val="continue"/>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1</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界桩预制及安装</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个</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3300</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500</w:t>
            </w: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165.00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2</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水准控制点制作</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80</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500</w:t>
            </w: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4.00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按照河道长度每km设置1个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3</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控制点制作</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80</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500</w:t>
            </w: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4.00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按照河道长度每km设置1个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4</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实施方案编制费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10.00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合同价计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5</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公告费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6.92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建筑安装费的4%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6</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项目建设管理费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1.73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建筑安装费的1%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7</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工程建设监理费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3.46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建筑安装费的2%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8</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招标费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1.73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建筑安装费的1%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722"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9</w:t>
            </w:r>
          </w:p>
        </w:tc>
        <w:tc>
          <w:tcPr>
            <w:tcW w:w="2268"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基本预备费</w:t>
            </w:r>
          </w:p>
        </w:tc>
        <w:tc>
          <w:tcPr>
            <w:tcW w:w="79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ascii="宋体" w:hAnsi="宋体" w:cs="宋体"/>
                <w:color w:val="000000" w:themeColor="text1"/>
                <w:kern w:val="0"/>
                <w:szCs w:val="21"/>
                <w:u w:val="none"/>
                <w14:textFill>
                  <w14:solidFill>
                    <w14:schemeClr w14:val="tx1"/>
                  </w14:solidFill>
                </w14:textFill>
              </w:rPr>
              <w:t>项</w:t>
            </w:r>
          </w:p>
        </w:tc>
        <w:tc>
          <w:tcPr>
            <w:tcW w:w="10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hint="eastAsia" w:ascii="Times New Roman" w:hAnsi="Times New Roman"/>
                <w:color w:val="000000" w:themeColor="text1"/>
                <w:szCs w:val="21"/>
                <w:u w:val="none"/>
                <w14:textFill>
                  <w14:solidFill>
                    <w14:schemeClr w14:val="tx1"/>
                  </w14:solidFill>
                </w14:textFill>
              </w:rPr>
              <w:t>1</w:t>
            </w:r>
          </w:p>
        </w:tc>
        <w:tc>
          <w:tcPr>
            <w:tcW w:w="1080"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color w:val="000000" w:themeColor="text1"/>
                <w:kern w:val="0"/>
                <w:szCs w:val="21"/>
                <w:u w:val="none"/>
                <w14:textFill>
                  <w14:solidFill>
                    <w14:schemeClr w14:val="tx1"/>
                  </w14:solidFill>
                </w14:textFill>
              </w:rPr>
            </w:pPr>
            <w:r>
              <w:rPr>
                <w:rFonts w:ascii="Times New Roman" w:hAnsi="Times New Roman"/>
                <w:color w:val="000000" w:themeColor="text1"/>
                <w:szCs w:val="21"/>
                <w:u w:val="none"/>
                <w14:textFill>
                  <w14:solidFill>
                    <w14:schemeClr w14:val="tx1"/>
                  </w14:solidFill>
                </w14:textFill>
              </w:rPr>
              <w:t xml:space="preserve">15.75 </w:t>
            </w:r>
          </w:p>
        </w:tc>
        <w:tc>
          <w:tcPr>
            <w:tcW w:w="2007" w:type="dxa"/>
            <w:noWrap w:val="0"/>
            <w:vAlign w:val="center"/>
          </w:tcPr>
          <w:p>
            <w:pPr>
              <w:widowControl/>
              <w:spacing w:line="320" w:lineRule="exact"/>
              <w:jc w:val="center"/>
              <w:rPr>
                <w:rFonts w:ascii="宋体" w:hAnsi="宋体" w:cs="宋体"/>
                <w:color w:val="000000" w:themeColor="text1"/>
                <w:kern w:val="0"/>
                <w:szCs w:val="21"/>
                <w:u w:val="none"/>
                <w14:textFill>
                  <w14:solidFill>
                    <w14:schemeClr w14:val="tx1"/>
                  </w14:solidFill>
                </w14:textFill>
              </w:rPr>
            </w:pPr>
            <w:r>
              <w:rPr>
                <w:rFonts w:hint="eastAsia"/>
                <w:color w:val="000000" w:themeColor="text1"/>
                <w:szCs w:val="21"/>
                <w:u w:val="none"/>
                <w14:textFill>
                  <w14:solidFill>
                    <w14:schemeClr w14:val="tx1"/>
                  </w14:solidFill>
                </w14:textFill>
              </w:rPr>
              <w:t>按以上各项之和8%计列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2990" w:type="dxa"/>
            <w:gridSpan w:val="2"/>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r>
              <w:rPr>
                <w:rFonts w:hint="eastAsia" w:ascii="宋体" w:hAnsi="宋体" w:cs="宋体"/>
                <w:b/>
                <w:bCs/>
                <w:color w:val="000000" w:themeColor="text1"/>
                <w:kern w:val="0"/>
                <w:szCs w:val="21"/>
                <w:u w:val="none"/>
                <w14:textFill>
                  <w14:solidFill>
                    <w14:schemeClr w14:val="tx1"/>
                  </w14:solidFill>
                </w14:textFill>
              </w:rPr>
              <w:t>总投资</w:t>
            </w:r>
          </w:p>
        </w:tc>
        <w:tc>
          <w:tcPr>
            <w:tcW w:w="790" w:type="dxa"/>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080" w:type="dxa"/>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080" w:type="dxa"/>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c>
          <w:tcPr>
            <w:tcW w:w="1280" w:type="dxa"/>
            <w:noWrap w:val="0"/>
            <w:vAlign w:val="center"/>
          </w:tcPr>
          <w:p>
            <w:pPr>
              <w:widowControl/>
              <w:spacing w:line="320" w:lineRule="exact"/>
              <w:jc w:val="center"/>
              <w:rPr>
                <w:rFonts w:ascii="宋体" w:hAnsi="宋体"/>
                <w:b/>
                <w:bCs/>
                <w:color w:val="000000" w:themeColor="text1"/>
                <w:kern w:val="0"/>
                <w:szCs w:val="21"/>
                <w:u w:val="none"/>
                <w14:textFill>
                  <w14:solidFill>
                    <w14:schemeClr w14:val="tx1"/>
                  </w14:solidFill>
                </w14:textFill>
              </w:rPr>
            </w:pPr>
            <w:r>
              <w:rPr>
                <w:rFonts w:hint="eastAsia" w:ascii="Times New Roman" w:hAnsi="Times New Roman"/>
                <w:b/>
                <w:bCs/>
                <w:color w:val="000000" w:themeColor="text1"/>
                <w:szCs w:val="21"/>
                <w:u w:val="none"/>
                <w14:textFill>
                  <w14:solidFill>
                    <w14:schemeClr w14:val="tx1"/>
                  </w14:solidFill>
                </w14:textFill>
              </w:rPr>
              <w:t>212.59</w:t>
            </w:r>
          </w:p>
        </w:tc>
        <w:tc>
          <w:tcPr>
            <w:tcW w:w="2007" w:type="dxa"/>
            <w:noWrap w:val="0"/>
            <w:vAlign w:val="center"/>
          </w:tcPr>
          <w:p>
            <w:pPr>
              <w:widowControl/>
              <w:spacing w:line="320" w:lineRule="exact"/>
              <w:jc w:val="center"/>
              <w:rPr>
                <w:rFonts w:ascii="宋体" w:hAnsi="宋体" w:cs="宋体"/>
                <w:b/>
                <w:bCs/>
                <w:color w:val="000000" w:themeColor="text1"/>
                <w:kern w:val="0"/>
                <w:szCs w:val="21"/>
                <w:u w:val="none"/>
                <w14:textFill>
                  <w14:solidFill>
                    <w14:schemeClr w14:val="tx1"/>
                  </w14:solidFill>
                </w14:textFill>
              </w:rPr>
            </w:pPr>
          </w:p>
        </w:tc>
      </w:tr>
      <w:bookmarkEnd w:id="55"/>
    </w:tbl>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tabs>
          <w:tab w:val="left" w:pos="0"/>
          <w:tab w:val="left" w:pos="3828"/>
        </w:tabs>
        <w:spacing w:before="332" w:after="332"/>
        <w:rPr>
          <w:color w:val="000000" w:themeColor="text1"/>
          <w:u w:val="none"/>
          <w14:textFill>
            <w14:solidFill>
              <w14:schemeClr w14:val="tx1"/>
            </w14:solidFill>
          </w14:textFill>
        </w:rPr>
      </w:pPr>
    </w:p>
    <w:p>
      <w:pPr>
        <w:pStyle w:val="2"/>
        <w:numPr>
          <w:ilvl w:val="0"/>
          <w:numId w:val="0"/>
        </w:numPr>
        <w:spacing w:before="166" w:beforeLines="50" w:after="166" w:afterLines="50" w:line="440" w:lineRule="exact"/>
        <w:rPr>
          <w:rFonts w:ascii="宋体" w:hAnsi="宋体" w:eastAsia="宋体"/>
          <w:b/>
          <w:color w:val="000000" w:themeColor="text1"/>
          <w:szCs w:val="30"/>
          <w:u w:val="none"/>
          <w14:textFill>
            <w14:solidFill>
              <w14:schemeClr w14:val="tx1"/>
            </w14:solidFill>
          </w14:textFill>
        </w:rPr>
      </w:pPr>
      <w:bookmarkStart w:id="57" w:name="_Toc6083"/>
      <w:r>
        <w:rPr>
          <w:rFonts w:hint="eastAsia" w:ascii="宋体" w:hAnsi="宋体" w:eastAsia="宋体"/>
          <w:b/>
          <w:color w:val="000000" w:themeColor="text1"/>
          <w:szCs w:val="30"/>
          <w:u w:val="none"/>
          <w14:textFill>
            <w14:solidFill>
              <w14:schemeClr w14:val="tx1"/>
            </w14:solidFill>
          </w14:textFill>
        </w:rPr>
        <w:t>7、责任分工</w:t>
      </w:r>
      <w:bookmarkEnd w:id="57"/>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58" w:name="_Toc8212"/>
      <w:r>
        <w:rPr>
          <w:rFonts w:hint="eastAsia"/>
          <w:color w:val="000000" w:themeColor="text1"/>
          <w:sz w:val="24"/>
          <w:szCs w:val="24"/>
          <w:u w:val="none"/>
          <w14:textFill>
            <w14:solidFill>
              <w14:schemeClr w14:val="tx1"/>
            </w14:solidFill>
          </w14:textFill>
        </w:rPr>
        <w:t>7.1责任分工</w:t>
      </w:r>
      <w:bookmarkEnd w:id="58"/>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（1）本溪市水务局负责委托设计单位编制本溪市本级河道和水利工程管理范围划界工作实施方案报告和现场组织实施。</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（2）本溪市国土资源局负责河道和水利工程管理范围土地权属调查和地籍测绘等工作，负责河道和水利工程管理范围划界成果的信息化备案，并将成果用于土地管理工作中。</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（3）本溪市财政局负责落实河道和水利工程管理范围划界和专项工作经费，监督专项经费使用管理。</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（4）本溪市规划局负责规划许可证和项目选址意见书办理事项，并将河道和水利工程管理范围划界成果用于规划管理工作中。</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（5）本溪市公安局负责查处河道和水利工程管理范围划界工作中肆意挑衅滋事，影响工作进展的违法行为。</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（6）本溪市交通运输局负责河道和水利工程管理范围划界工作涉及道路、桥梁、航道等交通工程的配合工作。</w:t>
      </w:r>
    </w:p>
    <w:p>
      <w:pPr>
        <w:pStyle w:val="2"/>
        <w:numPr>
          <w:ilvl w:val="0"/>
          <w:numId w:val="0"/>
        </w:numPr>
        <w:spacing w:before="166" w:beforeLines="50" w:after="166" w:afterLines="50" w:line="440" w:lineRule="exact"/>
        <w:rPr>
          <w:rFonts w:ascii="宋体" w:hAnsi="宋体" w:eastAsia="宋体"/>
          <w:b/>
          <w:color w:val="000000" w:themeColor="text1"/>
          <w:szCs w:val="30"/>
          <w:u w:val="none"/>
          <w14:textFill>
            <w14:solidFill>
              <w14:schemeClr w14:val="tx1"/>
            </w14:solidFill>
          </w14:textFill>
        </w:rPr>
      </w:pPr>
      <w:r>
        <w:rPr>
          <w:color w:val="000000" w:themeColor="text1"/>
          <w:sz w:val="24"/>
          <w:u w:val="none"/>
          <w14:textFill>
            <w14:solidFill>
              <w14:schemeClr w14:val="tx1"/>
            </w14:solidFill>
          </w14:textFill>
        </w:rPr>
        <w:br w:type="page"/>
      </w:r>
      <w:bookmarkStart w:id="59" w:name="_Toc30809"/>
      <w:bookmarkStart w:id="60" w:name="_Toc517440903"/>
      <w:r>
        <w:rPr>
          <w:rFonts w:hint="eastAsia" w:ascii="宋体" w:hAnsi="宋体" w:eastAsia="宋体"/>
          <w:b/>
          <w:color w:val="000000" w:themeColor="text1"/>
          <w:szCs w:val="30"/>
          <w:u w:val="none"/>
          <w14:textFill>
            <w14:solidFill>
              <w14:schemeClr w14:val="tx1"/>
            </w14:solidFill>
          </w14:textFill>
        </w:rPr>
        <w:t>8、保障措施</w:t>
      </w:r>
      <w:bookmarkEnd w:id="59"/>
      <w:bookmarkEnd w:id="60"/>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61" w:name="_Toc18324"/>
      <w:r>
        <w:rPr>
          <w:rFonts w:hint="eastAsia"/>
          <w:color w:val="000000" w:themeColor="text1"/>
          <w:sz w:val="24"/>
          <w:szCs w:val="24"/>
          <w:u w:val="none"/>
          <w14:textFill>
            <w14:solidFill>
              <w14:schemeClr w14:val="tx1"/>
            </w14:solidFill>
          </w14:textFill>
        </w:rPr>
        <w:t>8.1加强组织领导，强化部门协作</w:t>
      </w:r>
      <w:bookmarkEnd w:id="61"/>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各级要切实加强组织领导，建立并落实行政首长负责制，</w:t>
      </w:r>
      <w:r>
        <w:rPr>
          <w:rFonts w:hint="eastAsia"/>
          <w:color w:val="000000" w:themeColor="text1"/>
          <w:u w:val="none"/>
          <w14:textFill>
            <w14:solidFill>
              <w14:schemeClr w14:val="tx1"/>
            </w14:solidFill>
          </w14:textFill>
        </w:rPr>
        <w:t>市</w:t>
      </w:r>
      <w:r>
        <w:rPr>
          <w:rFonts w:hint="eastAsia"/>
          <w:color w:val="000000" w:themeColor="text1"/>
          <w:sz w:val="24"/>
          <w:u w:val="none"/>
          <w14:textFill>
            <w14:solidFill>
              <w14:schemeClr w14:val="tx1"/>
            </w14:solidFill>
          </w14:textFill>
        </w:rPr>
        <w:t>政府成立以分管市长为组长，市水务、国土资源、财政、住房城乡规划建设、农业、林业、司法、公安等有关部门负责人为成员的全市河道和水利工程管理范围划界工作领导小组，负责指挥、组织、协调全市河道和水利工程管理范围划界工作；领导小组办公室设在市水务局，负责河道和水利工程管理范围划界工作的具体组织实</w:t>
      </w:r>
      <w:bookmarkStart w:id="62" w:name="_Toc440348845"/>
      <w:r>
        <w:rPr>
          <w:rFonts w:hint="eastAsia"/>
          <w:color w:val="000000" w:themeColor="text1"/>
          <w:sz w:val="24"/>
          <w:u w:val="none"/>
          <w14:textFill>
            <w14:solidFill>
              <w14:schemeClr w14:val="tx1"/>
            </w14:solidFill>
          </w14:textFill>
        </w:rPr>
        <w:t>施、日常调度、督导检查等工</w:t>
      </w:r>
      <w:bookmarkEnd w:id="62"/>
      <w:r>
        <w:rPr>
          <w:rFonts w:hint="eastAsia"/>
          <w:color w:val="000000" w:themeColor="text1"/>
          <w:sz w:val="24"/>
          <w:u w:val="none"/>
          <w14:textFill>
            <w14:solidFill>
              <w14:schemeClr w14:val="tx1"/>
            </w14:solidFill>
          </w14:textFill>
        </w:rPr>
        <w:t>作。各县区也要成立相应的协调机构，确保河道和水利工程管理范围划界工作顺利进行。</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要明确部门工作职责，落实任务分工，形成政府主导、部门协作、层级负责的工作机制，建立水行政主管部门牵头、相关部门协同配合的工作体制。水务部门负责河道和水利工程管理范围划界工作的指导、协调、宣传工作，负责提供河道和水利工程管理范围的基础资料，配合国</w:t>
      </w:r>
      <w:bookmarkStart w:id="63" w:name="_Toc440348846"/>
      <w:r>
        <w:rPr>
          <w:rFonts w:hint="eastAsia"/>
          <w:color w:val="000000" w:themeColor="text1"/>
          <w:sz w:val="24"/>
          <w:u w:val="none"/>
          <w14:textFill>
            <w14:solidFill>
              <w14:schemeClr w14:val="tx1"/>
            </w14:solidFill>
          </w14:textFill>
        </w:rPr>
        <w:t>土资源部门完成河道和水利工程管理范围的地</w:t>
      </w:r>
      <w:bookmarkEnd w:id="63"/>
      <w:r>
        <w:rPr>
          <w:rFonts w:hint="eastAsia"/>
          <w:color w:val="000000" w:themeColor="text1"/>
          <w:sz w:val="24"/>
          <w:u w:val="none"/>
          <w14:textFill>
            <w14:solidFill>
              <w14:schemeClr w14:val="tx1"/>
            </w14:solidFill>
          </w14:textFill>
        </w:rPr>
        <w:t>籍测绘、打桩放线和关联村居、单位签字工作；农业、林业等部门负责涉及河道和水利工程管理范围内</w:t>
      </w:r>
      <w:bookmarkStart w:id="64" w:name="_Toc440348847"/>
      <w:r>
        <w:rPr>
          <w:rFonts w:hint="eastAsia"/>
          <w:color w:val="000000" w:themeColor="text1"/>
          <w:sz w:val="24"/>
          <w:u w:val="none"/>
          <w14:textFill>
            <w14:solidFill>
              <w14:schemeClr w14:val="tx1"/>
            </w14:solidFill>
          </w14:textFill>
        </w:rPr>
        <w:t>相关资产权属的解释和处理工</w:t>
      </w:r>
      <w:bookmarkEnd w:id="64"/>
      <w:r>
        <w:rPr>
          <w:rFonts w:hint="eastAsia"/>
          <w:color w:val="000000" w:themeColor="text1"/>
          <w:sz w:val="24"/>
          <w:u w:val="none"/>
          <w14:textFill>
            <w14:solidFill>
              <w14:schemeClr w14:val="tx1"/>
            </w14:solidFill>
          </w14:textFill>
        </w:rPr>
        <w:t>作；财政部门负责安排河道和水利工程管理范围划界工作经费；司法、公安部门负责处理河道和水利工程管理范围划界工作中出现的纠纷和社会治安工作；所在乡镇人民政府负责管理范围内农户承包地的调整工作和登记过程中矛盾纠纷协调工作等。</w:t>
      </w:r>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65" w:name="_Toc3763"/>
      <w:r>
        <w:rPr>
          <w:rFonts w:hint="eastAsia"/>
          <w:color w:val="000000" w:themeColor="text1"/>
          <w:sz w:val="24"/>
          <w:szCs w:val="24"/>
          <w:u w:val="none"/>
          <w14:textFill>
            <w14:solidFill>
              <w14:schemeClr w14:val="tx1"/>
            </w14:solidFill>
          </w14:textFill>
        </w:rPr>
        <w:t>8.2落实工作经费，保障工作开展</w:t>
      </w:r>
      <w:bookmarkEnd w:id="65"/>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明确公共财政作为主要投入，财政部门及时足额落实工作经费，按照事权划分的原则，明确本轮划界河道和水利工程管理范围经费的组成、经费的渠道来源。</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在工作实施中，要加强经费监管，确保专款专用，确保河道和水利工程管理范围划界工作顺利进行。</w:t>
      </w:r>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66" w:name="_Toc9235"/>
      <w:r>
        <w:rPr>
          <w:rFonts w:hint="eastAsia"/>
          <w:color w:val="000000" w:themeColor="text1"/>
          <w:sz w:val="24"/>
          <w:szCs w:val="24"/>
          <w:u w:val="none"/>
          <w14:textFill>
            <w14:solidFill>
              <w14:schemeClr w14:val="tx1"/>
            </w14:solidFill>
          </w14:textFill>
        </w:rPr>
        <w:t>8.3加强政策研究，创新管理方式</w:t>
      </w:r>
      <w:bookmarkEnd w:id="66"/>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明确水务、国土资源等部门进一步梳理管理范围划定的历史情况和政策文件，制定和完善相关政策文件和操作细则，在依法依规的前提下，加强河道和水利工程管理范围的所有权、管理权、经营权和收益权等方面的政策研究和管理创新。</w:t>
      </w:r>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67" w:name="_Toc18472"/>
      <w:r>
        <w:rPr>
          <w:rFonts w:hint="eastAsia"/>
          <w:color w:val="000000" w:themeColor="text1"/>
          <w:sz w:val="24"/>
          <w:szCs w:val="24"/>
          <w:u w:val="none"/>
          <w14:textFill>
            <w14:solidFill>
              <w14:schemeClr w14:val="tx1"/>
            </w14:solidFill>
          </w14:textFill>
        </w:rPr>
        <w:t>8.4强化宣传培训，引导公众参与</w:t>
      </w:r>
      <w:bookmarkEnd w:id="67"/>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明确培训及宣传力度、时间节点、达到的效果，引导社会公众积极配合。各级各有关部门要认真学习传达贯彻河道和水利工程管理范围划界工作的有关政策及工作要求，利用电视、广播、报刊、网络等多种形式进行广泛宣传，提高全社会对水利</w:t>
      </w:r>
      <w:bookmarkStart w:id="68" w:name="_Toc440348850"/>
      <w:bookmarkStart w:id="69" w:name="_Toc427567373"/>
      <w:r>
        <w:rPr>
          <w:rFonts w:hint="eastAsia"/>
          <w:color w:val="000000" w:themeColor="text1"/>
          <w:sz w:val="24"/>
          <w:u w:val="none"/>
          <w14:textFill>
            <w14:solidFill>
              <w14:schemeClr w14:val="tx1"/>
            </w14:solidFill>
          </w14:textFill>
        </w:rPr>
        <w:t>工程划界</w:t>
      </w:r>
      <w:bookmarkEnd w:id="68"/>
      <w:bookmarkEnd w:id="69"/>
      <w:r>
        <w:rPr>
          <w:rFonts w:hint="eastAsia"/>
          <w:color w:val="000000" w:themeColor="text1"/>
          <w:sz w:val="24"/>
          <w:u w:val="none"/>
          <w14:textFill>
            <w14:solidFill>
              <w14:schemeClr w14:val="tx1"/>
            </w14:solidFill>
          </w14:textFill>
        </w:rPr>
        <w:t>重要意义及法律政策的认识，为划界工作创造良好的社会基础和舆论氛围。</w:t>
      </w:r>
    </w:p>
    <w:p>
      <w:pPr>
        <w:pStyle w:val="3"/>
        <w:numPr>
          <w:ilvl w:val="0"/>
          <w:numId w:val="0"/>
        </w:numPr>
        <w:spacing w:before="166" w:after="166" w:line="440" w:lineRule="atLeast"/>
        <w:ind w:firstLine="420"/>
        <w:jc w:val="left"/>
        <w:rPr>
          <w:color w:val="000000" w:themeColor="text1"/>
          <w:sz w:val="24"/>
          <w:szCs w:val="24"/>
          <w:u w:val="none"/>
          <w14:textFill>
            <w14:solidFill>
              <w14:schemeClr w14:val="tx1"/>
            </w14:solidFill>
          </w14:textFill>
        </w:rPr>
      </w:pPr>
      <w:bookmarkStart w:id="70" w:name="_Toc505"/>
      <w:r>
        <w:rPr>
          <w:rFonts w:hint="eastAsia"/>
          <w:color w:val="000000" w:themeColor="text1"/>
          <w:sz w:val="24"/>
          <w:szCs w:val="24"/>
          <w:u w:val="none"/>
          <w14:textFill>
            <w14:solidFill>
              <w14:schemeClr w14:val="tx1"/>
            </w14:solidFill>
          </w14:textFill>
        </w:rPr>
        <w:t>8.5健全监督机制，严格责任落实</w:t>
      </w:r>
      <w:bookmarkEnd w:id="70"/>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结合各相关职能部门分工，量化年度管理绩效和考核目标，严格</w:t>
      </w:r>
      <w:bookmarkStart w:id="71" w:name="_Toc440348851"/>
      <w:r>
        <w:rPr>
          <w:rFonts w:hint="eastAsia"/>
          <w:color w:val="000000" w:themeColor="text1"/>
          <w:sz w:val="24"/>
          <w:u w:val="none"/>
          <w14:textFill>
            <w14:solidFill>
              <w14:schemeClr w14:val="tx1"/>
            </w14:solidFill>
          </w14:textFill>
        </w:rPr>
        <w:t>考核管理，明确奖惩措施。</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p>
    <w:p>
      <w:pPr>
        <w:pStyle w:val="2"/>
        <w:numPr>
          <w:ilvl w:val="0"/>
          <w:numId w:val="0"/>
        </w:numPr>
        <w:spacing w:before="166" w:beforeLines="50" w:after="166" w:afterLines="50" w:line="440" w:lineRule="exact"/>
        <w:rPr>
          <w:rFonts w:ascii="宋体" w:hAnsi="宋体" w:eastAsia="宋体"/>
          <w:b/>
          <w:color w:val="000000" w:themeColor="text1"/>
          <w:szCs w:val="30"/>
          <w:u w:val="none"/>
          <w14:textFill>
            <w14:solidFill>
              <w14:schemeClr w14:val="tx1"/>
            </w14:solidFill>
          </w14:textFill>
        </w:rPr>
      </w:pPr>
      <w:r>
        <w:rPr>
          <w:color w:val="000000" w:themeColor="text1"/>
          <w:sz w:val="24"/>
          <w:u w:val="none"/>
          <w14:textFill>
            <w14:solidFill>
              <w14:schemeClr w14:val="tx1"/>
            </w14:solidFill>
          </w14:textFill>
        </w:rPr>
        <w:br w:type="page"/>
      </w:r>
      <w:bookmarkStart w:id="72" w:name="_Toc10819"/>
      <w:r>
        <w:rPr>
          <w:rFonts w:hint="eastAsia" w:ascii="宋体" w:hAnsi="宋体" w:eastAsia="宋体"/>
          <w:b/>
          <w:color w:val="000000" w:themeColor="text1"/>
          <w:szCs w:val="30"/>
          <w:u w:val="none"/>
          <w14:textFill>
            <w14:solidFill>
              <w14:schemeClr w14:val="tx1"/>
            </w14:solidFill>
          </w14:textFill>
        </w:rPr>
        <w:t>9提供成果</w:t>
      </w:r>
      <w:bookmarkEnd w:id="72"/>
    </w:p>
    <w:bookmarkEnd w:id="71"/>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73" w:name="_Toc6241"/>
      <w:r>
        <w:rPr>
          <w:rFonts w:hint="eastAsia"/>
          <w:color w:val="000000" w:themeColor="text1"/>
          <w:sz w:val="24"/>
          <w:szCs w:val="24"/>
          <w:u w:val="none"/>
          <w14:textFill>
            <w14:solidFill>
              <w14:schemeClr w14:val="tx1"/>
            </w14:solidFill>
          </w14:textFill>
        </w:rPr>
        <w:t>9.1划界成</w:t>
      </w:r>
      <w:bookmarkStart w:id="74" w:name="_Toc440348852"/>
      <w:r>
        <w:rPr>
          <w:rFonts w:hint="eastAsia"/>
          <w:color w:val="000000" w:themeColor="text1"/>
          <w:sz w:val="24"/>
          <w:szCs w:val="24"/>
          <w:u w:val="none"/>
          <w14:textFill>
            <w14:solidFill>
              <w14:schemeClr w14:val="tx1"/>
            </w14:solidFill>
          </w14:textFill>
        </w:rPr>
        <w:t>果</w:t>
      </w:r>
      <w:bookmarkEnd w:id="73"/>
    </w:p>
    <w:p>
      <w:pPr>
        <w:numPr>
          <w:ilvl w:val="0"/>
          <w:numId w:val="17"/>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实地埋设界桩、界</w:t>
      </w:r>
      <w:bookmarkEnd w:id="74"/>
      <w:r>
        <w:rPr>
          <w:rFonts w:hint="eastAsia"/>
          <w:color w:val="000000" w:themeColor="text1"/>
          <w:sz w:val="24"/>
          <w:u w:val="none"/>
          <w14:textFill>
            <w14:solidFill>
              <w14:schemeClr w14:val="tx1"/>
            </w14:solidFill>
          </w14:textFill>
        </w:rPr>
        <w:t>牌；</w:t>
      </w:r>
    </w:p>
    <w:p>
      <w:pPr>
        <w:numPr>
          <w:ilvl w:val="0"/>
          <w:numId w:val="17"/>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管理范围线桩（界）测量控制点成果表、测量已知点检核表；</w:t>
      </w:r>
    </w:p>
    <w:p>
      <w:pPr>
        <w:numPr>
          <w:ilvl w:val="0"/>
          <w:numId w:val="17"/>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河道和水利工程管理范围线及桩（牌）矢量布置图；</w:t>
      </w:r>
    </w:p>
    <w:p>
      <w:pPr>
        <w:numPr>
          <w:ilvl w:val="0"/>
          <w:numId w:val="17"/>
        </w:num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移位界桩点之记；</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需注明点之记名称、编号、图编号、所在地名、平面坐标等参数；移位说明：点位略图（表示出界桩点与河道及相邻点之间的关系，理论位置与实地埋设桩位的相对位置及准确距离）。</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（5）管理范围线桩（界）成果表</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需注明桩号、所在位置、平面坐标及高程等。</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（6）抽检成果资料</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抽检成果质量评定表、整改情况汇总表等。</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（7）划界报告</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按照河道和水利工程管理与保护范围划界报告编写提纲编制，编写提纲见《技术规定》。</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（8）信息化成果。</w:t>
      </w:r>
    </w:p>
    <w:p>
      <w:pPr>
        <w:pStyle w:val="3"/>
        <w:numPr>
          <w:ilvl w:val="0"/>
          <w:numId w:val="0"/>
        </w:numPr>
        <w:spacing w:before="166" w:after="166" w:line="440" w:lineRule="atLeast"/>
        <w:jc w:val="left"/>
        <w:rPr>
          <w:color w:val="000000" w:themeColor="text1"/>
          <w:sz w:val="24"/>
          <w:szCs w:val="24"/>
          <w:u w:val="none"/>
          <w14:textFill>
            <w14:solidFill>
              <w14:schemeClr w14:val="tx1"/>
            </w14:solidFill>
          </w14:textFill>
        </w:rPr>
      </w:pPr>
      <w:bookmarkStart w:id="75" w:name="_Toc8327"/>
      <w:r>
        <w:rPr>
          <w:rFonts w:hint="eastAsia"/>
          <w:color w:val="000000" w:themeColor="text1"/>
          <w:sz w:val="24"/>
          <w:szCs w:val="24"/>
          <w:u w:val="none"/>
          <w14:textFill>
            <w14:solidFill>
              <w14:schemeClr w14:val="tx1"/>
            </w14:solidFill>
          </w14:textFill>
        </w:rPr>
        <w:t>9.2成果</w:t>
      </w:r>
      <w:bookmarkEnd w:id="75"/>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地籍信息化</w:t>
      </w:r>
    </w:p>
    <w:p>
      <w:pPr>
        <w:adjustRightInd w:val="0"/>
        <w:snapToGrid w:val="0"/>
        <w:spacing w:line="440" w:lineRule="exact"/>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数字化河道和水利工程管理范围线，录入国土部门地籍信息系统。</w:t>
      </w:r>
    </w:p>
    <w:p>
      <w:pPr>
        <w:pStyle w:val="11"/>
        <w:adjustRightInd w:val="0"/>
        <w:snapToGrid w:val="0"/>
        <w:spacing w:before="0" w:after="0" w:line="360" w:lineRule="auto"/>
        <w:ind w:firstLine="480" w:firstLineChars="200"/>
        <w:outlineLvl w:val="9"/>
        <w:rPr>
          <w:color w:val="000000" w:themeColor="text1"/>
          <w:sz w:val="24"/>
          <w:u w:val="none"/>
          <w14:textFill>
            <w14:solidFill>
              <w14:schemeClr w14:val="tx1"/>
            </w14:solidFill>
          </w14:textFill>
        </w:rPr>
      </w:pPr>
    </w:p>
    <w:p>
      <w:pPr>
        <w:rPr>
          <w:color w:val="000000" w:themeColor="text1"/>
          <w:u w:val="none"/>
          <w14:textFill>
            <w14:solidFill>
              <w14:schemeClr w14:val="tx1"/>
            </w14:solidFill>
          </w14:textFill>
        </w:rPr>
      </w:pPr>
    </w:p>
    <w:p/>
    <w:sectPr>
      <w:footerReference r:id="rId8" w:type="default"/>
      <w:pgSz w:w="11906" w:h="16838"/>
      <w:pgMar w:top="1440" w:right="1247" w:bottom="1440" w:left="1361" w:header="851" w:footer="992" w:gutter="0"/>
      <w:pgNumType w:fmt="decimalFullWidth"/>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中等线简体">
    <w:altName w:val="宋体"/>
    <w:panose1 w:val="02010601030101010101"/>
    <w:charset w:val="86"/>
    <w:family w:val="script"/>
    <w:pitch w:val="default"/>
    <w:sig w:usb0="00000000" w:usb1="00000000" w:usb2="00000000" w:usb3="00000000" w:csb0="00040000" w:csb1="00000000"/>
  </w:font>
  <w:font w:name="方正大标宋简体">
    <w:altName w:val="微软雅黑"/>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jc w:val="center"/>
                          </w:pPr>
                          <w:r>
                            <w:fldChar w:fldCharType="begin"/>
                          </w:r>
                          <w:r>
                            <w:instrText xml:space="preserve"> PAGE   \* MERGEFORMAT </w:instrText>
                          </w:r>
                          <w:r>
                            <w:fldChar w:fldCharType="separate"/>
                          </w:r>
                          <w:r>
                            <w:rPr>
                              <w:rFonts w:hint="eastAsia"/>
                              <w:lang w:val="zh-CN"/>
                            </w:rPr>
                            <w:t>１</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rPr>
                        <w:rFonts w:hint="eastAsia"/>
                        <w:lang w:val="zh-CN"/>
                      </w:rPr>
                      <w:t>１</w:t>
                    </w:r>
                    <w:r>
                      <w:fldChar w:fldCharType="end"/>
                    </w:r>
                  </w:p>
                </w:txbxContent>
              </v:textbox>
            </v:shape>
          </w:pict>
        </mc:Fallback>
      </mc:AlternateContent>
    </w:r>
  </w:p>
  <w:p>
    <w:pPr>
      <w:pStyle w:val="8"/>
      <w:tabs>
        <w:tab w:val="left" w:pos="5852"/>
      </w:tabs>
      <w:jc w:val="left"/>
      <w:rPr>
        <w:rFonts w:hint="eastAsia" w:eastAsia="宋体"/>
        <w:lang w:eastAsia="zh-CN"/>
      </w:rPr>
    </w:pPr>
    <w:r>
      <w:rPr>
        <w:rFonts w:hint="eastAsia"/>
        <w:lang w:eastAsia="zh-CN"/>
      </w:rPr>
      <w:tab/>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tabs>
        <w:tab w:val="center" w:pos="7039"/>
        <w:tab w:val="left" w:pos="7699"/>
      </w:tabs>
      <w:jc w:val="lef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１４</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3a36J9IBAACiAwAADgAAAAAAAAABACAAAAAfAQAA&#10;ZHJzL2Uyb0RvYy54bWxQSwUGAAAAAAYABgBZAQAAY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１４</w:t>
                    </w:r>
                    <w:r>
                      <w:rPr>
                        <w:rFonts w:hint="eastAsia"/>
                      </w:rP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jc w:val="center"/>
                          </w:pPr>
                          <w:r>
                            <w:fldChar w:fldCharType="begin"/>
                          </w:r>
                          <w:r>
                            <w:instrText xml:space="preserve"> PAGE   \* MERGEFORMAT </w:instrText>
                          </w:r>
                          <w:r>
                            <w:fldChar w:fldCharType="separate"/>
                          </w:r>
                          <w:r>
                            <w:rPr>
                              <w:rFonts w:hint="eastAsia" w:ascii="宋体" w:hAnsi="宋体" w:cs="宋体"/>
                              <w:lang w:val="zh-CN"/>
                            </w:rPr>
                            <w:t>２６</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rPr>
                        <w:rFonts w:hint="eastAsia" w:ascii="宋体" w:hAnsi="宋体" w:cs="宋体"/>
                        <w:lang w:val="zh-CN"/>
                      </w:rPr>
                      <w:t>２６</w:t>
                    </w:r>
                    <w:r>
                      <w:fldChar w:fldCharType="end"/>
                    </w:r>
                  </w:p>
                </w:txbxContent>
              </v:textbox>
            </v:shape>
          </w:pict>
        </mc:Fallback>
      </mc:AlternateContent>
    </w:r>
  </w:p>
  <w:p>
    <w:pPr>
      <w:pStyle w:val="8"/>
      <w:jc w:val="center"/>
    </w:pPr>
  </w:p>
  <w:p>
    <w:pPr>
      <w:pStyle w:val="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346A3"/>
    <w:multiLevelType w:val="multilevel"/>
    <w:tmpl w:val="16D346A3"/>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7C50C83"/>
    <w:multiLevelType w:val="multilevel"/>
    <w:tmpl w:val="17C50C83"/>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4ACB3B6"/>
    <w:multiLevelType w:val="singleLevel"/>
    <w:tmpl w:val="24ACB3B6"/>
    <w:lvl w:ilvl="0" w:tentative="0">
      <w:start w:val="3"/>
      <w:numFmt w:val="decimal"/>
      <w:suff w:val="nothing"/>
      <w:lvlText w:val="%1、"/>
      <w:lvlJc w:val="left"/>
      <w:pPr>
        <w:ind w:left="3000" w:firstLine="0"/>
      </w:pPr>
    </w:lvl>
  </w:abstractNum>
  <w:abstractNum w:abstractNumId="3">
    <w:nsid w:val="26442C8E"/>
    <w:multiLevelType w:val="multilevel"/>
    <w:tmpl w:val="26442C8E"/>
    <w:lvl w:ilvl="0" w:tentative="0">
      <w:start w:val="1"/>
      <w:numFmt w:val="decimal"/>
      <w:lvlText w:val="(%1)"/>
      <w:lvlJc w:val="left"/>
      <w:pPr>
        <w:ind w:left="900" w:hanging="420"/>
      </w:pPr>
      <w:rPr>
        <w:rFonts w:hint="default" w:ascii="Times New Roman" w:hAnsi="Times New Roman" w:cs="Times New Roman"/>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6090CE8"/>
    <w:multiLevelType w:val="multilevel"/>
    <w:tmpl w:val="46090CE8"/>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99D6158"/>
    <w:multiLevelType w:val="multilevel"/>
    <w:tmpl w:val="499D6158"/>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957E7F"/>
    <w:multiLevelType w:val="multilevel"/>
    <w:tmpl w:val="55957E7F"/>
    <w:lvl w:ilvl="0" w:tentative="0">
      <w:start w:val="1"/>
      <w:numFmt w:val="decimal"/>
      <w:pStyle w:val="2"/>
      <w:isLgl/>
      <w:lvlText w:val="%1 "/>
      <w:lvlJc w:val="left"/>
      <w:pPr>
        <w:tabs>
          <w:tab w:val="left" w:pos="3828"/>
        </w:tabs>
        <w:ind w:left="3828" w:firstLine="0"/>
      </w:pPr>
      <w:rPr>
        <w:rFonts w:hint="eastAsia" w:ascii="黑体" w:eastAsia="黑体"/>
        <w:b w:val="0"/>
        <w:sz w:val="30"/>
        <w:szCs w:val="30"/>
      </w:rPr>
    </w:lvl>
    <w:lvl w:ilvl="1" w:tentative="0">
      <w:start w:val="1"/>
      <w:numFmt w:val="decimal"/>
      <w:pStyle w:val="3"/>
      <w:isLgl/>
      <w:suff w:val="space"/>
      <w:lvlText w:val="%1.%2 "/>
      <w:lvlJc w:val="left"/>
      <w:pPr>
        <w:ind w:left="142" w:firstLine="0"/>
      </w:pPr>
      <w:rPr>
        <w:rFonts w:hint="eastAsia" w:ascii="黑体" w:eastAsia="黑体"/>
        <w:b w:val="0"/>
        <w:sz w:val="28"/>
        <w:szCs w:val="28"/>
      </w:rPr>
    </w:lvl>
    <w:lvl w:ilvl="2" w:tentative="0">
      <w:start w:val="1"/>
      <w:numFmt w:val="decimal"/>
      <w:lvlText w:val="%1.%2.%3"/>
      <w:lvlJc w:val="left"/>
      <w:pPr>
        <w:tabs>
          <w:tab w:val="left" w:pos="0"/>
        </w:tabs>
        <w:ind w:left="0" w:firstLine="0"/>
      </w:pPr>
      <w:rPr>
        <w:rFonts w:hint="eastAsia" w:ascii="宋体" w:hAnsi="宋体" w:eastAsia="宋体"/>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0"/>
        </w:tabs>
        <w:ind w:left="0" w:firstLine="0"/>
      </w:pPr>
      <w:rPr>
        <w:rFonts w:hint="eastAsia"/>
        <w:b w:val="0"/>
        <w:sz w:val="24"/>
        <w:szCs w:val="24"/>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CE86E73"/>
    <w:multiLevelType w:val="multilevel"/>
    <w:tmpl w:val="5CE86E73"/>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E164B6B"/>
    <w:multiLevelType w:val="multilevel"/>
    <w:tmpl w:val="5E164B6B"/>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0915B94"/>
    <w:multiLevelType w:val="multilevel"/>
    <w:tmpl w:val="60915B94"/>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90B1FEA"/>
    <w:multiLevelType w:val="multilevel"/>
    <w:tmpl w:val="690B1FEA"/>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9687A6B"/>
    <w:multiLevelType w:val="multilevel"/>
    <w:tmpl w:val="69687A6B"/>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9E665EC"/>
    <w:multiLevelType w:val="multilevel"/>
    <w:tmpl w:val="69E665EC"/>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ABD3312"/>
    <w:multiLevelType w:val="multilevel"/>
    <w:tmpl w:val="6ABD3312"/>
    <w:lvl w:ilvl="0" w:tentative="0">
      <w:start w:val="1"/>
      <w:numFmt w:val="decimal"/>
      <w:lvlText w:val="(%1)"/>
      <w:lvlJc w:val="left"/>
      <w:pPr>
        <w:ind w:left="900" w:hanging="420"/>
      </w:pPr>
      <w:rPr>
        <w:rFonts w:hint="default" w:ascii="Times New Roman" w:hAnsi="Times New Roman" w:cs="Times New Roman"/>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04C6F8B"/>
    <w:multiLevelType w:val="multilevel"/>
    <w:tmpl w:val="704C6F8B"/>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758F30E7"/>
    <w:multiLevelType w:val="multilevel"/>
    <w:tmpl w:val="758F30E7"/>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62705E1"/>
    <w:multiLevelType w:val="multilevel"/>
    <w:tmpl w:val="762705E1"/>
    <w:lvl w:ilvl="0" w:tentative="0">
      <w:start w:val="1"/>
      <w:numFmt w:val="decimal"/>
      <w:lvlText w:val="(%1)"/>
      <w:lvlJc w:val="left"/>
      <w:pPr>
        <w:tabs>
          <w:tab w:val="left" w:pos="170"/>
        </w:tabs>
        <w:ind w:left="0" w:firstLine="510"/>
      </w:pPr>
      <w:rPr>
        <w:rFonts w:hint="default" w:ascii="Times New Roman" w:hAnsi="Times New Roman" w:cs="Times New Roman"/>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13"/>
  </w:num>
  <w:num w:numId="4">
    <w:abstractNumId w:val="1"/>
  </w:num>
  <w:num w:numId="5">
    <w:abstractNumId w:val="11"/>
  </w:num>
  <w:num w:numId="6">
    <w:abstractNumId w:val="2"/>
  </w:num>
  <w:num w:numId="7">
    <w:abstractNumId w:val="10"/>
  </w:num>
  <w:num w:numId="8">
    <w:abstractNumId w:val="16"/>
  </w:num>
  <w:num w:numId="9">
    <w:abstractNumId w:val="15"/>
  </w:num>
  <w:num w:numId="10">
    <w:abstractNumId w:val="7"/>
  </w:num>
  <w:num w:numId="11">
    <w:abstractNumId w:val="8"/>
  </w:num>
  <w:num w:numId="12">
    <w:abstractNumId w:val="0"/>
  </w:num>
  <w:num w:numId="13">
    <w:abstractNumId w:val="9"/>
  </w:num>
  <w:num w:numId="14">
    <w:abstractNumId w:val="14"/>
  </w:num>
  <w:num w:numId="15">
    <w:abstractNumId w:val="4"/>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3NWJjZWNmZDdjYTQ5OTNhZDkzM2Q3ZmI4MjgyN2IifQ=="/>
  </w:docVars>
  <w:rsids>
    <w:rsidRoot w:val="44FC3266"/>
    <w:rsid w:val="2A48632D"/>
    <w:rsid w:val="44FC3266"/>
    <w:rsid w:val="4A142D56"/>
    <w:rsid w:val="5FA34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0"/>
      </w:tabs>
      <w:adjustRightInd w:val="0"/>
      <w:snapToGrid w:val="0"/>
      <w:spacing w:beforeLines="100" w:afterLines="100" w:line="400" w:lineRule="atLeast"/>
      <w:jc w:val="center"/>
      <w:outlineLvl w:val="0"/>
    </w:pPr>
    <w:rPr>
      <w:rFonts w:eastAsia="黑体"/>
      <w:bCs/>
      <w:kern w:val="44"/>
      <w:sz w:val="30"/>
      <w:szCs w:val="44"/>
    </w:rPr>
  </w:style>
  <w:style w:type="paragraph" w:styleId="3">
    <w:name w:val="heading 2"/>
    <w:basedOn w:val="1"/>
    <w:next w:val="1"/>
    <w:qFormat/>
    <w:uiPriority w:val="0"/>
    <w:pPr>
      <w:keepNext/>
      <w:keepLines/>
      <w:numPr>
        <w:ilvl w:val="1"/>
        <w:numId w:val="1"/>
      </w:numPr>
      <w:adjustRightInd w:val="0"/>
      <w:snapToGrid w:val="0"/>
      <w:spacing w:beforeLines="50" w:afterLines="50" w:line="400" w:lineRule="atLeast"/>
      <w:outlineLvl w:val="1"/>
    </w:pPr>
    <w:rPr>
      <w:rFonts w:ascii="宋体" w:hAnsi="宋体"/>
      <w:b/>
      <w:bCs/>
      <w:sz w:val="28"/>
      <w:szCs w:val="32"/>
    </w:rPr>
  </w:style>
  <w:style w:type="character" w:default="1" w:styleId="13">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caption"/>
    <w:basedOn w:val="1"/>
    <w:next w:val="1"/>
    <w:qFormat/>
    <w:uiPriority w:val="35"/>
    <w:rPr>
      <w:rFonts w:ascii="Arial" w:hAnsi="Arial" w:eastAsia="黑体" w:cs="Arial"/>
      <w:sz w:val="20"/>
      <w:szCs w:val="20"/>
    </w:rPr>
  </w:style>
  <w:style w:type="paragraph" w:styleId="6">
    <w:name w:val="annotation text"/>
    <w:basedOn w:val="1"/>
    <w:semiHidden/>
    <w:qFormat/>
    <w:uiPriority w:val="0"/>
    <w:pPr>
      <w:jc w:val="left"/>
    </w:pPr>
  </w:style>
  <w:style w:type="paragraph" w:styleId="7">
    <w:name w:val="Plain Text"/>
    <w:basedOn w:val="1"/>
    <w:qFormat/>
    <w:uiPriority w:val="0"/>
    <w:pPr>
      <w:spacing w:line="360" w:lineRule="auto"/>
      <w:ind w:firstLine="480" w:firstLineChars="200"/>
    </w:pPr>
    <w:rPr>
      <w:rFonts w:ascii="宋体" w:hAnsi="宋体" w:cs="Courier New"/>
      <w:sz w:val="24"/>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toc 1"/>
    <w:basedOn w:val="1"/>
    <w:next w:val="1"/>
    <w:qFormat/>
    <w:uiPriority w:val="39"/>
    <w:pPr>
      <w:spacing w:before="120" w:after="120"/>
      <w:jc w:val="left"/>
    </w:pPr>
    <w:rPr>
      <w:rFonts w:cs="Calibri"/>
      <w:b/>
      <w:bCs/>
      <w:caps/>
      <w:sz w:val="20"/>
      <w:szCs w:val="20"/>
    </w:rPr>
  </w:style>
  <w:style w:type="paragraph" w:styleId="10">
    <w:name w:val="toc 2"/>
    <w:basedOn w:val="1"/>
    <w:next w:val="1"/>
    <w:qFormat/>
    <w:uiPriority w:val="39"/>
    <w:pPr>
      <w:ind w:left="210"/>
      <w:jc w:val="left"/>
    </w:pPr>
    <w:rPr>
      <w:rFonts w:cs="Calibri"/>
      <w:smallCaps/>
      <w:sz w:val="20"/>
      <w:szCs w:val="20"/>
    </w:rPr>
  </w:style>
  <w:style w:type="paragraph" w:styleId="11">
    <w:name w:val="Title"/>
    <w:basedOn w:val="1"/>
    <w:qFormat/>
    <w:uiPriority w:val="0"/>
    <w:pPr>
      <w:spacing w:before="240" w:after="60"/>
      <w:jc w:val="center"/>
      <w:outlineLvl w:val="0"/>
    </w:pPr>
    <w:rPr>
      <w:rFonts w:ascii="Arial" w:hAnsi="Arial" w:cs="Arial"/>
      <w:b/>
      <w:bCs/>
      <w:sz w:val="32"/>
      <w:szCs w:val="32"/>
    </w:rPr>
  </w:style>
  <w:style w:type="paragraph" w:customStyle="1" w:styleId="14">
    <w:name w:val="列出段落1"/>
    <w:basedOn w:val="1"/>
    <w:qFormat/>
    <w:uiPriority w:val="0"/>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2024-03-25T07:08:00Z</dcterms:created>
  <dc:creator>陈萃彦</dc:creator>
  <cp:lastModifiedBy>陈萃彦</cp:lastModifiedBy>
  <dcterms:modified xsi:type="dcterms:W3CDTF">2024-03-25T07:09:22Z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B3B5E15BB9BA4C629B8ACBE6EE73E006_11</vt:lpwstr>
  </property>
</Properties>
</file>