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变更辽宁德信行大药房有限公司新源店等1家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91210521318914216W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辽CB024200239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辽宁德信行大药房有限公司新源店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本溪市本溪满族自治县小市镇长江路255号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主要负责人：王冬瑶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质量负责人：王冬瑶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处方药、甲类非处方药、乙类非处方药;中药饮片、中成药、化学药(含冷藏药品)、其他生物制品(含冷藏药品)***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2024-3-14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2024-03-14T01:22:20Z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