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  <w:bookmarkStart w:id="0" w:name="_GoBack"/>
      <w:r>
        <w:rPr>
          <w:sz w:val="44"/>
        </w:rPr>
        <w:pict>
          <v:shape id="_x0000_s1026" o:spid="_x0000_s1026" o:spt="202" type="#_x0000_t202" style="position:absolute;left:0pt;margin-left:-72.95pt;margin-top:-98.1pt;height:6pt;width:6pt;z-index:251659264;mso-width-relative:page;mso-height-relative:page;" fillcolor="#FFFFFF" filled="t" stroked="f" coordsize="21600,21600" o:gfxdata="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jAT5I3QAA&#10;AA8BAAAPAAAAAAAAAAEAIAAAADgAAABkcnMvZG93bnJldi54bWxQSwECFAAUAAAACACHTuJA2Q3j&#10;zDwCAABaBAAADgAAAAAAAAABACAAAABCAQAAZHJzL2Uyb0RvYy54bWxQSwUGAAAAAAYABgBZAQAA&#10;8AUAAAAA&#10;">
            <v:path/>
            <v:fill on="t" focussize="0,0"/>
            <v:stroke on="f" weight="1pt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简体" w:hAnsi="方正小标宋简体" w:eastAsia="方正小标宋简体" w:cs="方正小标宋简体"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本溪市城市绿线管理办法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b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（2011年5月23日本溪市人民政府令第158号公布  自2011年7月1日起施行）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b/>
          <w:sz w:val="32"/>
          <w:szCs w:val="32"/>
        </w:rPr>
      </w:pP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sz w:val="32"/>
          <w:szCs w:val="32"/>
        </w:rPr>
        <w:t>　　</w:t>
      </w:r>
      <w:r>
        <w:rPr>
          <w:rFonts w:ascii="黑体" w:hAnsi="黑体" w:eastAsia="黑体" w:cs="黑体"/>
          <w:bCs/>
          <w:sz w:val="32"/>
          <w:szCs w:val="32"/>
        </w:rPr>
        <w:t>第一条</w:t>
      </w:r>
      <w:r>
        <w:rPr>
          <w:rFonts w:ascii="仿宋_GB2312" w:eastAsia="仿宋_GB2312" w:cs="仿宋_GB2312"/>
          <w:sz w:val="32"/>
          <w:szCs w:val="32"/>
        </w:rPr>
        <w:t>　为加强城市绿线管理，改善城市生态环境，创造良好人居环境，促进城市可持续发展，根据《中华人民共和国城乡规划法》、《城市绿化条例》和《城市绿线管理办法》的规定，结合本市实际，制定本办法。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第二条</w:t>
      </w:r>
      <w:r>
        <w:rPr>
          <w:rFonts w:ascii="仿宋_GB2312" w:eastAsia="仿宋_GB2312" w:cs="仿宋_GB2312"/>
          <w:sz w:val="32"/>
          <w:szCs w:val="32"/>
        </w:rPr>
        <w:t>　本市城市规划区内城市绿线的划定、监督和管理，适用本办法。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本办法所称城市绿线，是指城市规划区内各类绿地范围的控制线，包括已建成绿地的控制线和规划预留绿地的控制线。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第三条</w:t>
      </w:r>
      <w:r>
        <w:rPr>
          <w:rFonts w:ascii="仿宋_GB2312" w:eastAsia="仿宋_GB2312" w:cs="仿宋_GB2312"/>
          <w:sz w:val="32"/>
          <w:szCs w:val="32"/>
        </w:rPr>
        <w:t>　市城乡规划建设行政主管部门（以下简称市规划主管部门）负责全市城市绿线管理工作，其所属的市城市绿化管理机构具体负责城市绿线的日常管理工作。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综合执法部门负责对违反本办法的行为依法实施行政处罚。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林业、交通、水务、房产、旅游、国土资源等有关部门，按照职责分工，共同做好城市绿线管理的相关工作。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第四条</w:t>
      </w:r>
      <w:r>
        <w:rPr>
          <w:rFonts w:ascii="仿宋_GB2312" w:eastAsia="仿宋_GB2312" w:cs="仿宋_GB2312"/>
          <w:sz w:val="32"/>
          <w:szCs w:val="32"/>
        </w:rPr>
        <w:t>　城市绿线管理坚持科学划定、严格控制、有效保护的原则。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第五条</w:t>
      </w:r>
      <w:r>
        <w:rPr>
          <w:rFonts w:ascii="仿宋_GB2312" w:eastAsia="仿宋_GB2312" w:cs="仿宋_GB2312"/>
          <w:sz w:val="32"/>
          <w:szCs w:val="32"/>
        </w:rPr>
        <w:t>　市规划主管部门应当依据土地利用总体规划、城市总体规划、详细规划和国家《城市绿地系统规划编制纲要》的要求，会同有关部门组织编制城市绿地系统规划，报经政府批准后公布实施。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市规划主管部门应当根据城市绿地系统规划，确定城市绿化目标、布局和绿地面积，并确定城市绿线。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第六条</w:t>
      </w:r>
      <w:r>
        <w:rPr>
          <w:rFonts w:ascii="仿宋_GB2312" w:eastAsia="仿宋_GB2312" w:cs="仿宋_GB2312"/>
          <w:sz w:val="32"/>
          <w:szCs w:val="32"/>
        </w:rPr>
        <w:t>　控制性详细规划应当准确提出不同类型城市绿化用地的界线、规划绿地率控制指标和绿化用地界限的具体坐标。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修建性详细规划应当根据控制性详细规划，明确绿地布局，提出绿化配置的原则或方案，划定绿地界线。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第七条</w:t>
      </w:r>
      <w:r>
        <w:rPr>
          <w:rFonts w:ascii="仿宋_GB2312" w:eastAsia="仿宋_GB2312" w:cs="仿宋_GB2312"/>
          <w:sz w:val="32"/>
          <w:szCs w:val="32"/>
        </w:rPr>
        <w:t>　下列区域应当划定城市绿线：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（一）现有的和规划的公园绿地、生产绿地、防护绿地、附属绿地及其他绿地；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（二）河流、湖泊、水塘、湿地、山体等城市景观生态控制区域；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（三）散生林植被、古树名木规定的保护范围；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（四）其他对城市生态和景观产生积极作用的区域。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第八条</w:t>
      </w:r>
      <w:r>
        <w:rPr>
          <w:rFonts w:ascii="仿宋_GB2312" w:eastAsia="仿宋_GB2312" w:cs="仿宋_GB2312"/>
          <w:sz w:val="32"/>
          <w:szCs w:val="32"/>
        </w:rPr>
        <w:t>　城市绿线范围内的单位自用绿地，由市城市绿化管理机构登记造册并存档，建立数字化管理平台，按属地管理的原则确定管理责任单位。城市绿线范围内的规划绿地，由市城市绿化管理机构负责监督管理。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第九条</w:t>
      </w:r>
      <w:r>
        <w:rPr>
          <w:rFonts w:ascii="仿宋_GB2312" w:eastAsia="仿宋_GB2312" w:cs="仿宋_GB2312"/>
          <w:sz w:val="32"/>
          <w:szCs w:val="32"/>
        </w:rPr>
        <w:t>　城市绿线范围内的公园绿地、防护绿地、生产绿地、居住区绿地、单位附属绿地、道路绿地等，应当按照《城市用地分类与规划建设用地标准》、《公园设计规范》等规定标准进行绿地规划和建设。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第十条</w:t>
      </w:r>
      <w:r>
        <w:rPr>
          <w:rFonts w:ascii="仿宋_GB2312" w:eastAsia="仿宋_GB2312" w:cs="仿宋_GB2312"/>
          <w:sz w:val="32"/>
          <w:szCs w:val="32"/>
        </w:rPr>
        <w:t>　城市绿线划定后，任何单位和个人不得擅自变更。为公共利益的需要，符合下列情形之一的，应当按照《中华人民共和国城乡规划法》、《城市绿化条例》的规定变更城市绿线：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（一）修编城市规划对城市用地布局进行调整，使城市绿地发生变化，需要根据新的规划对城市绿线作相应调整的；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（二）经论证的城市重要基础设施的布局占用城市绿地，需要对城市绿线作相应调整的；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（三）其他经论证确有必要调整城市绿线的。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变更城市绿线不得减少绿地面积。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第十一条</w:t>
      </w:r>
      <w:r>
        <w:rPr>
          <w:rFonts w:ascii="仿宋_GB2312" w:eastAsia="仿宋_GB2312" w:cs="仿宋_GB2312"/>
          <w:sz w:val="32"/>
          <w:szCs w:val="32"/>
        </w:rPr>
        <w:t>　新建工程项目的用地选址，不得占用城市绿地系统规划确定的绿地。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城市绿线范围内的用地，不得改作他用。不得违反法律法规、强制性标准以及批准的规划进行开发建设。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第十二条</w:t>
      </w:r>
      <w:r>
        <w:rPr>
          <w:rFonts w:ascii="仿宋_GB2312" w:eastAsia="仿宋_GB2312" w:cs="仿宋_GB2312"/>
          <w:sz w:val="32"/>
          <w:szCs w:val="32"/>
        </w:rPr>
        <w:t>　因建设或者其他特殊情况，确需临时占用城市绿线内用地的，应当制定绿地保护、占补恢复赔偿方案，报规划主管部门批准后实施。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第十三条</w:t>
      </w:r>
      <w:r>
        <w:rPr>
          <w:rFonts w:ascii="仿宋_GB2312" w:eastAsia="仿宋_GB2312" w:cs="仿宋_GB2312"/>
          <w:sz w:val="32"/>
          <w:szCs w:val="32"/>
        </w:rPr>
        <w:t>　城市新建、改建、扩建工程建设项目在申请建设用地或建设工程许可时，规划主管部门应当同时界定绿地率和绿地的地理坐标，划定城市绿线。建设单位应当按照许可确定城市绿地要求标准，委托有资质的设计单位编制附属绿化工程设计方案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第十四条</w:t>
      </w:r>
      <w:r>
        <w:rPr>
          <w:rFonts w:ascii="仿宋_GB2312" w:eastAsia="仿宋_GB2312" w:cs="仿宋_GB2312"/>
          <w:sz w:val="32"/>
          <w:szCs w:val="32"/>
        </w:rPr>
        <w:t>　居住区绿化、单位绿化及各类建设项目的配套绿化都应当达到《城市绿化规划建设指标的规定》的标准。</w:t>
      </w:r>
    </w:p>
    <w:p>
      <w:pPr>
        <w:pStyle w:val="8"/>
        <w:widowControl/>
        <w:spacing w:line="560" w:lineRule="exact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各类建设工程应当与其配套的绿化工程同步设计、同步施工、同步验收。达不到规定标准的，不得投入使用。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第十五条</w:t>
      </w:r>
      <w:r>
        <w:rPr>
          <w:rFonts w:ascii="仿宋_GB2312" w:eastAsia="仿宋_GB2312" w:cs="仿宋_GB2312"/>
          <w:sz w:val="32"/>
          <w:szCs w:val="32"/>
        </w:rPr>
        <w:t>　城市绿线内所有绿地、植被、绿化设施等，任何单位和个人不得擅自移植、砍伐、侵占和损坏，不得改变其绿化用地性质。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第十六条</w:t>
      </w:r>
      <w:r>
        <w:rPr>
          <w:rFonts w:ascii="仿宋_GB2312" w:eastAsia="仿宋_GB2312" w:cs="仿宋_GB2312"/>
          <w:sz w:val="32"/>
          <w:szCs w:val="32"/>
        </w:rPr>
        <w:t>　城市绿线范围内的建筑物、构筑物应当依法征收，违法建筑应当依法拆除。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第十七条</w:t>
      </w:r>
      <w:r>
        <w:rPr>
          <w:rFonts w:ascii="仿宋_GB2312" w:eastAsia="仿宋_GB2312" w:cs="仿宋_GB2312"/>
          <w:b/>
          <w:sz w:val="32"/>
          <w:szCs w:val="32"/>
        </w:rPr>
        <w:t>　</w:t>
      </w:r>
      <w:r>
        <w:rPr>
          <w:rFonts w:ascii="仿宋_GB2312" w:eastAsia="仿宋_GB2312" w:cs="仿宋_GB2312"/>
          <w:sz w:val="32"/>
          <w:szCs w:val="32"/>
        </w:rPr>
        <w:t>占有、使用绿线范围内绿地的企事业单位或个人，应当按照城市规划主管部门确定的管护职责，做好绿地维护工作，不得弃置或疏于管理。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第十八条</w:t>
      </w:r>
      <w:r>
        <w:rPr>
          <w:rFonts w:ascii="仿宋_GB2312" w:eastAsia="仿宋_GB2312" w:cs="仿宋_GB2312"/>
          <w:sz w:val="32"/>
          <w:szCs w:val="32"/>
        </w:rPr>
        <w:t>　任何单位和个人不得在城市绿线范围内从事拦河截溪、取土采石、设置垃圾堆场、排放污水以及其他破坏绿地的行为。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第十九条</w:t>
      </w:r>
      <w:r>
        <w:rPr>
          <w:rFonts w:ascii="仿宋_GB2312" w:eastAsia="仿宋_GB2312" w:cs="仿宋_GB2312"/>
          <w:sz w:val="32"/>
          <w:szCs w:val="32"/>
        </w:rPr>
        <w:t>　违反本办法第十七条规定，造成绿地、绿线损坏的，由综合执法部门责令限期改正，并处以1000元以上10000元以下的罚款。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第二十条</w:t>
      </w:r>
      <w:r>
        <w:rPr>
          <w:rFonts w:ascii="仿宋_GB2312" w:eastAsia="仿宋_GB2312" w:cs="仿宋_GB2312"/>
          <w:sz w:val="32"/>
          <w:szCs w:val="32"/>
        </w:rPr>
        <w:t>　违反本办法第十八条规定，由综合执法部门责令限期改正，并处以10000元以上30000元以下的罚款。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第二十一条</w:t>
      </w:r>
      <w:r>
        <w:rPr>
          <w:rFonts w:ascii="仿宋_GB2312" w:eastAsia="仿宋_GB2312" w:cs="仿宋_GB2312"/>
          <w:sz w:val="32"/>
          <w:szCs w:val="32"/>
        </w:rPr>
        <w:t>　当事人对行政处罚决定不服的，可依法申请行政复议或者提起行政诉讼。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第二十二条</w:t>
      </w:r>
      <w:r>
        <w:rPr>
          <w:rFonts w:ascii="仿宋_GB2312" w:eastAsia="仿宋_GB2312" w:cs="仿宋_GB2312"/>
          <w:sz w:val="32"/>
          <w:szCs w:val="32"/>
        </w:rPr>
        <w:t>　规划主管部门及所属城市绿化管理机构的工作人员未依法履行职责，造成城市绿地严重缺失的，由具有行政处分权的部门依法予以查处；构成犯罪的，依法追究刑事责任。</w:t>
      </w:r>
    </w:p>
    <w:p>
      <w:pPr>
        <w:pStyle w:val="8"/>
        <w:widowControl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第二十三条</w:t>
      </w:r>
      <w:r>
        <w:rPr>
          <w:rFonts w:ascii="仿宋_GB2312" w:eastAsia="仿宋_GB2312" w:cs="仿宋_GB2312"/>
          <w:b/>
          <w:sz w:val="32"/>
          <w:szCs w:val="32"/>
        </w:rPr>
        <w:t>　</w:t>
      </w:r>
      <w:r>
        <w:rPr>
          <w:rFonts w:ascii="仿宋_GB2312" w:eastAsia="仿宋_GB2312" w:cs="仿宋_GB2312"/>
          <w:sz w:val="32"/>
          <w:szCs w:val="32"/>
        </w:rPr>
        <w:t>本溪满族自治县、桓仁满族自治县的城市绿线管理可参照本办法执行。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第二十四条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　本办法自2011年7月1日起施行。</w:t>
      </w:r>
    </w:p>
    <w:bookmarkEnd w:id="0"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2049" o:spid="_x0000_s2049" o:spt="20" style="position:absolute;left:0pt;margin-left:0pt;margin-top:5.85pt;height:0.15pt;width:442.25pt;z-index:251661312;mso-width-relative:page;mso-height-relative:page;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本溪市人民政府发布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w:pict>
        <v:line id="_x0000_s2051" o:spid="_x0000_s2051" o:spt="20" style="position:absolute;left:0pt;margin-left:-0.3pt;margin-top:54.35pt;height:0pt;width:442.55pt;z-index:251660288;mso-width-relative:page;mso-height-relative:page;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本溪市人民政府规章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671BD"/>
    <w:rsid w:val="00172A27"/>
    <w:rsid w:val="003931FA"/>
    <w:rsid w:val="004A4E4A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5542EDA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6D6E2486"/>
    <w:rsid w:val="6FCF783D"/>
    <w:rsid w:val="7C9011D9"/>
    <w:rsid w:val="7DC651C5"/>
    <w:rsid w:val="7FCC2834"/>
    <w:rsid w:val="7FFF23BC"/>
    <w:rsid w:val="DFFA7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HTML 预设格式 Char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318</Words>
  <Characters>1818</Characters>
  <Lines>15</Lines>
  <Paragraphs>4</Paragraphs>
  <TotalTime>0</TotalTime>
  <ScaleCrop>false</ScaleCrop>
  <LinksUpToDate>false</LinksUpToDate>
  <CharactersWithSpaces>2132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ccy</cp:lastModifiedBy>
  <cp:lastPrinted>2021-10-27T11:30:00Z</cp:lastPrinted>
  <dcterms:modified xsi:type="dcterms:W3CDTF">2021-12-20T09:48:13Z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48C61CB29D3F4D9384F5922CF0F7FFB4</vt:lpwstr>
  </property>
</Properties>
</file>